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4620E" w14:textId="1E0D12DD" w:rsidR="00C856A6" w:rsidRPr="00091AF0" w:rsidRDefault="003D25FA" w:rsidP="003D25FA">
      <w:pPr>
        <w:pStyle w:val="Heading1"/>
        <w:rPr>
          <w:lang w:val="fr-CA"/>
        </w:rPr>
      </w:pPr>
      <w:bookmarkStart w:id="0" w:name="_GoBack"/>
      <w:bookmarkEnd w:id="0"/>
      <w:r w:rsidRPr="003D25FA">
        <w:rPr>
          <w:i/>
          <w:lang w:val="fr-CA"/>
        </w:rPr>
        <w:t>Règlement de l’Ontario 243/07</w:t>
      </w:r>
      <w:r w:rsidRPr="003D25FA">
        <w:rPr>
          <w:lang w:val="fr-CA"/>
        </w:rPr>
        <w:t xml:space="preserve"> (Écoles, écoles privées et garderies)</w:t>
      </w:r>
    </w:p>
    <w:p w14:paraId="7E729AEF" w14:textId="769978FB" w:rsidR="00C856A6" w:rsidRPr="00091AF0" w:rsidRDefault="003D25FA" w:rsidP="003D25FA">
      <w:pPr>
        <w:pStyle w:val="Heading2"/>
        <w:rPr>
          <w:lang w:val="fr-CA"/>
        </w:rPr>
      </w:pPr>
      <w:r w:rsidRPr="003D25FA">
        <w:rPr>
          <w:lang w:val="fr-CA"/>
        </w:rPr>
        <w:t xml:space="preserve">Communication de changements en vigueur à compter du </w:t>
      </w:r>
      <w:r w:rsidRPr="00452800">
        <w:rPr>
          <w:lang w:val="fr-CA"/>
        </w:rPr>
        <w:t>1</w:t>
      </w:r>
      <w:r w:rsidRPr="003D25FA">
        <w:rPr>
          <w:vertAlign w:val="superscript"/>
          <w:lang w:val="fr-CA"/>
        </w:rPr>
        <w:t>er</w:t>
      </w:r>
      <w:r w:rsidRPr="003D25FA">
        <w:rPr>
          <w:lang w:val="fr-CA"/>
        </w:rPr>
        <w:t> juillet 2017</w:t>
      </w:r>
    </w:p>
    <w:p w14:paraId="2596C555" w14:textId="78C32712" w:rsidR="00D77C0A" w:rsidRPr="00091AF0" w:rsidRDefault="003D25FA" w:rsidP="003D25FA">
      <w:pPr>
        <w:pStyle w:val="Heading2"/>
        <w:rPr>
          <w:lang w:val="fr-CA"/>
        </w:rPr>
      </w:pPr>
      <w:r w:rsidRPr="003D25FA">
        <w:rPr>
          <w:lang w:val="fr-CA"/>
        </w:rPr>
        <w:t>Article</w:t>
      </w:r>
    </w:p>
    <w:p w14:paraId="2596C556" w14:textId="42D78D90" w:rsidR="00D77C0A" w:rsidRPr="00091AF0" w:rsidRDefault="007C094A" w:rsidP="007C094A">
      <w:pPr>
        <w:pStyle w:val="NormalWeb"/>
        <w:shd w:val="clear" w:color="auto" w:fill="FFFFFF"/>
        <w:spacing w:after="0"/>
        <w:rPr>
          <w:rFonts w:ascii="Arial" w:hAnsi="Arial" w:cs="Arial"/>
          <w:i/>
          <w:color w:val="000000"/>
          <w:lang w:val="fr-CA"/>
        </w:rPr>
      </w:pPr>
      <w:r w:rsidRPr="00091AF0">
        <w:rPr>
          <w:rFonts w:ascii="Arial" w:hAnsi="Arial" w:cs="Arial"/>
          <w:color w:val="000000"/>
          <w:lang w:val="fr-CA"/>
        </w:rPr>
        <w:t>L’article suivant peut être utilisé dans les communications avec les garderies et les écoles (p. ex., bulletins, sites Web et lettres aux parents).</w:t>
      </w:r>
      <w:r w:rsidR="00D77C0A" w:rsidRPr="00091AF0">
        <w:rPr>
          <w:rFonts w:ascii="Arial" w:hAnsi="Arial" w:cs="Arial"/>
          <w:color w:val="000000"/>
          <w:lang w:val="fr-CA"/>
        </w:rPr>
        <w:t xml:space="preserve"> </w:t>
      </w:r>
      <w:r w:rsidRPr="00091AF0">
        <w:rPr>
          <w:rFonts w:ascii="Arial" w:hAnsi="Arial" w:cs="Arial"/>
          <w:color w:val="000000"/>
          <w:lang w:val="fr-CA"/>
        </w:rPr>
        <w:t xml:space="preserve">Il a pour but d’informer les parents concernant l’échantillonnage accru pour le plomb à la suite de la mise à jour du </w:t>
      </w:r>
      <w:r w:rsidRPr="00091AF0">
        <w:rPr>
          <w:rFonts w:ascii="Arial" w:hAnsi="Arial" w:cs="Arial"/>
          <w:i/>
          <w:color w:val="000000"/>
          <w:lang w:val="fr-CA"/>
        </w:rPr>
        <w:t>Règlement de l’Ontario 243/07</w:t>
      </w:r>
      <w:r w:rsidRPr="007C094A">
        <w:rPr>
          <w:rFonts w:ascii="Arial" w:hAnsi="Arial" w:cs="Arial"/>
          <w:color w:val="000000"/>
          <w:lang w:val="fr-CA"/>
        </w:rPr>
        <w:t>.</w:t>
      </w:r>
      <w:r w:rsidR="00D77C0A" w:rsidRPr="00091AF0">
        <w:rPr>
          <w:rFonts w:ascii="Arial" w:hAnsi="Arial" w:cs="Arial"/>
          <w:i/>
          <w:color w:val="000000"/>
          <w:lang w:val="fr-CA"/>
        </w:rPr>
        <w:t xml:space="preserve"> </w:t>
      </w:r>
    </w:p>
    <w:p w14:paraId="2596C557" w14:textId="625EA7C0" w:rsidR="00D77C0A" w:rsidRPr="00091AF0" w:rsidRDefault="007C094A" w:rsidP="007C094A">
      <w:pPr>
        <w:pStyle w:val="Heading2"/>
        <w:rPr>
          <w:lang w:val="fr-CA"/>
        </w:rPr>
      </w:pPr>
      <w:r w:rsidRPr="007C094A">
        <w:rPr>
          <w:lang w:val="fr-CA"/>
        </w:rPr>
        <w:t>PROTECTION DES ENFANTS CONTRE LE PLOMB DANS L’EAU POTABLE</w:t>
      </w:r>
    </w:p>
    <w:p w14:paraId="2596C558" w14:textId="1AD747AB" w:rsidR="00D77C0A" w:rsidRPr="00091AF0" w:rsidRDefault="007C094A" w:rsidP="007C094A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lang w:val="fr-CA"/>
        </w:rPr>
      </w:pPr>
      <w:r w:rsidRPr="007C094A">
        <w:rPr>
          <w:rFonts w:ascii="Arial" w:hAnsi="Arial" w:cs="Arial"/>
          <w:color w:val="000000"/>
          <w:lang w:val="fr-CA"/>
        </w:rPr>
        <w:t>L’Ontario poursuit ses efforts pour protéger la santé des enfants grâce à de nouvelles modifications apportées au règlement</w:t>
      </w:r>
      <w:r w:rsidR="00452800">
        <w:rPr>
          <w:rFonts w:ascii="Arial" w:hAnsi="Arial" w:cs="Arial"/>
          <w:color w:val="000000"/>
          <w:lang w:val="fr-CA"/>
        </w:rPr>
        <w:t xml:space="preserve">. Ces </w:t>
      </w:r>
      <w:proofErr w:type="gramStart"/>
      <w:r w:rsidR="00452800">
        <w:rPr>
          <w:rFonts w:ascii="Arial" w:hAnsi="Arial" w:cs="Arial"/>
          <w:color w:val="000000"/>
          <w:lang w:val="fr-CA"/>
        </w:rPr>
        <w:t>modification</w:t>
      </w:r>
      <w:proofErr w:type="gramEnd"/>
      <w:r w:rsidR="00452800">
        <w:rPr>
          <w:rFonts w:ascii="Arial" w:hAnsi="Arial" w:cs="Arial"/>
          <w:color w:val="000000"/>
          <w:lang w:val="fr-CA"/>
        </w:rPr>
        <w:t xml:space="preserve"> ont pour but d’</w:t>
      </w:r>
      <w:r w:rsidRPr="007C094A">
        <w:rPr>
          <w:rFonts w:ascii="Arial" w:hAnsi="Arial" w:cs="Arial"/>
          <w:color w:val="000000"/>
          <w:lang w:val="fr-CA"/>
        </w:rPr>
        <w:t>améliorer l’échantillonnage de l’eau potable pour le plomb dans les garderies et les écoles et ainsi minimiser l’exposition des enfants au plomb.</w:t>
      </w:r>
      <w:r w:rsidR="00D77C0A" w:rsidRPr="00091AF0">
        <w:rPr>
          <w:rFonts w:ascii="Arial" w:hAnsi="Arial" w:cs="Arial"/>
          <w:color w:val="000000"/>
          <w:lang w:val="fr-CA"/>
        </w:rPr>
        <w:t xml:space="preserve"> </w:t>
      </w:r>
    </w:p>
    <w:p w14:paraId="0FDF1101" w14:textId="57EFD48D" w:rsidR="00893E10" w:rsidRPr="00091AF0" w:rsidRDefault="007C094A" w:rsidP="007C094A">
      <w:pPr>
        <w:pStyle w:val="NormalWeb"/>
        <w:shd w:val="clear" w:color="auto" w:fill="FFFFFF"/>
        <w:rPr>
          <w:rFonts w:ascii="Arial" w:eastAsia="Century Schoolbook" w:hAnsi="Arial" w:cs="Arial"/>
          <w:spacing w:val="2"/>
          <w:lang w:val="fr-CA"/>
        </w:rPr>
      </w:pPr>
      <w:r w:rsidRPr="007C094A">
        <w:rPr>
          <w:rFonts w:ascii="Arial" w:eastAsia="Century Schoolbook" w:hAnsi="Arial" w:cs="Arial"/>
          <w:spacing w:val="2"/>
          <w:lang w:val="fr-CA"/>
        </w:rPr>
        <w:t xml:space="preserve">Selon de nouvelles modifications apportées au </w:t>
      </w:r>
      <w:r w:rsidRPr="00452800">
        <w:rPr>
          <w:rFonts w:ascii="Arial" w:eastAsia="Century Schoolbook" w:hAnsi="Arial" w:cs="Arial"/>
          <w:i/>
          <w:spacing w:val="2"/>
          <w:lang w:val="fr-CA"/>
        </w:rPr>
        <w:t>Règlement de l’Ontario 243/07</w:t>
      </w:r>
      <w:r w:rsidRPr="007C094A">
        <w:rPr>
          <w:rFonts w:ascii="Arial" w:eastAsia="Century Schoolbook" w:hAnsi="Arial" w:cs="Arial"/>
          <w:spacing w:val="2"/>
          <w:lang w:val="fr-CA"/>
        </w:rPr>
        <w:t xml:space="preserve"> en vigueur </w:t>
      </w:r>
      <w:r w:rsidR="00452800">
        <w:rPr>
          <w:rFonts w:ascii="Arial" w:eastAsia="Century Schoolbook" w:hAnsi="Arial" w:cs="Arial"/>
          <w:spacing w:val="2"/>
          <w:lang w:val="fr-CA"/>
        </w:rPr>
        <w:t>à compter du</w:t>
      </w:r>
      <w:r w:rsidRPr="007C094A">
        <w:rPr>
          <w:rFonts w:ascii="Arial" w:eastAsia="Century Schoolbook" w:hAnsi="Arial" w:cs="Arial"/>
          <w:spacing w:val="2"/>
          <w:lang w:val="fr-CA"/>
        </w:rPr>
        <w:t xml:space="preserve"> 1</w:t>
      </w:r>
      <w:r w:rsidRPr="007C094A">
        <w:rPr>
          <w:rFonts w:ascii="Arial" w:eastAsia="Century Schoolbook" w:hAnsi="Arial" w:cs="Arial"/>
          <w:spacing w:val="2"/>
          <w:vertAlign w:val="superscript"/>
          <w:lang w:val="fr-CA"/>
        </w:rPr>
        <w:t>er</w:t>
      </w:r>
      <w:r w:rsidRPr="007C094A">
        <w:rPr>
          <w:rFonts w:ascii="Arial" w:eastAsia="Century Schoolbook" w:hAnsi="Arial" w:cs="Arial"/>
          <w:spacing w:val="2"/>
          <w:lang w:val="fr-CA"/>
        </w:rPr>
        <w:t xml:space="preserve"> juillet 2017, il sera maintenant nécessaire de procéder à des </w:t>
      </w:r>
      <w:proofErr w:type="gramStart"/>
      <w:r w:rsidRPr="007C094A">
        <w:rPr>
          <w:rFonts w:ascii="Arial" w:eastAsia="Century Schoolbook" w:hAnsi="Arial" w:cs="Arial"/>
          <w:spacing w:val="2"/>
          <w:lang w:val="fr-CA"/>
        </w:rPr>
        <w:t>analyses</w:t>
      </w:r>
      <w:proofErr w:type="gramEnd"/>
      <w:r w:rsidRPr="007C094A">
        <w:rPr>
          <w:rFonts w:ascii="Arial" w:eastAsia="Century Schoolbook" w:hAnsi="Arial" w:cs="Arial"/>
          <w:spacing w:val="2"/>
          <w:lang w:val="fr-CA"/>
        </w:rPr>
        <w:t xml:space="preserve"> de plomb de tous les dispositifs servant à fournir de l’eau à boire ou de l’eau utilisée dans la préparation des aliments ou des boissons des enfants de moins de 18 ans.</w:t>
      </w:r>
    </w:p>
    <w:p w14:paraId="2596C559" w14:textId="4A2FC6D4" w:rsidR="00D77C0A" w:rsidRPr="00091AF0" w:rsidRDefault="007C094A" w:rsidP="002C2B9D">
      <w:pPr>
        <w:spacing w:after="0" w:line="240" w:lineRule="auto"/>
        <w:rPr>
          <w:rFonts w:ascii="Arial" w:eastAsia="Century Schoolbook" w:hAnsi="Arial" w:cs="Arial"/>
          <w:sz w:val="24"/>
          <w:szCs w:val="24"/>
          <w:lang w:val="fr-CA"/>
        </w:rPr>
      </w:pPr>
      <w:r w:rsidRPr="007C094A">
        <w:rPr>
          <w:rFonts w:ascii="Arial" w:eastAsia="Century Schoolbook" w:hAnsi="Arial" w:cs="Arial"/>
          <w:sz w:val="24"/>
          <w:szCs w:val="24"/>
          <w:lang w:val="fr-CA"/>
        </w:rPr>
        <w:t>Les études</w:t>
      </w:r>
      <w:r w:rsidRPr="007C094A">
        <w:rPr>
          <w:rStyle w:val="FootnoteReference"/>
          <w:rFonts w:ascii="Arial" w:eastAsia="Century Schoolbook" w:hAnsi="Arial" w:cs="Arial"/>
          <w:sz w:val="24"/>
          <w:szCs w:val="24"/>
          <w:lang w:val="fr-CA"/>
        </w:rPr>
        <w:footnoteReference w:id="1"/>
      </w:r>
      <w:r w:rsidRPr="007C094A">
        <w:rPr>
          <w:rFonts w:ascii="Arial" w:eastAsia="Century Schoolbook" w:hAnsi="Arial" w:cs="Arial"/>
          <w:sz w:val="24"/>
          <w:szCs w:val="24"/>
          <w:lang w:val="fr-CA"/>
        </w:rPr>
        <w:t xml:space="preserve"> démontrent que le niveau de plomb dans l’eau potable provenant de la plomberie peut varier considérablement d’un robinet à l’autre ou d’une fontaine à l’autre.</w:t>
      </w:r>
      <w:r w:rsidR="00D77C0A" w:rsidRPr="00091AF0">
        <w:rPr>
          <w:rFonts w:ascii="Arial" w:eastAsia="Century Schoolbook" w:hAnsi="Arial" w:cs="Arial"/>
          <w:sz w:val="24"/>
          <w:szCs w:val="24"/>
          <w:lang w:val="fr-CA"/>
        </w:rPr>
        <w:t xml:space="preserve"> </w:t>
      </w:r>
      <w:r w:rsidRPr="007C094A">
        <w:rPr>
          <w:rFonts w:ascii="Arial" w:eastAsia="Century Schoolbook" w:hAnsi="Arial" w:cs="Arial"/>
          <w:sz w:val="24"/>
          <w:szCs w:val="24"/>
          <w:lang w:val="fr-CA"/>
        </w:rPr>
        <w:t xml:space="preserve">Ce n’est qu’en prélevant des échantillons de chaque </w:t>
      </w:r>
      <w:r w:rsidR="00452800">
        <w:rPr>
          <w:rFonts w:ascii="Arial" w:eastAsia="Century Schoolbook" w:hAnsi="Arial" w:cs="Arial"/>
          <w:sz w:val="24"/>
          <w:szCs w:val="24"/>
          <w:lang w:val="fr-CA"/>
        </w:rPr>
        <w:t>accessoire de plomberie</w:t>
      </w:r>
      <w:r w:rsidRPr="007C094A">
        <w:rPr>
          <w:rFonts w:ascii="Arial" w:eastAsia="Century Schoolbook" w:hAnsi="Arial" w:cs="Arial"/>
          <w:sz w:val="24"/>
          <w:szCs w:val="24"/>
          <w:lang w:val="fr-CA"/>
        </w:rPr>
        <w:t xml:space="preserve"> que les garderies et les écoles pourront s’assurer que les enfants ne sont pas exposés au plomb provenant de la tuyauterie de leur établissement.</w:t>
      </w:r>
      <w:r w:rsidR="00D77C0A" w:rsidRPr="00091AF0">
        <w:rPr>
          <w:rFonts w:ascii="Arial" w:eastAsia="Century Schoolbook" w:hAnsi="Arial" w:cs="Arial"/>
          <w:sz w:val="24"/>
          <w:szCs w:val="24"/>
          <w:lang w:val="fr-CA"/>
        </w:rPr>
        <w:t xml:space="preserve"> </w:t>
      </w:r>
    </w:p>
    <w:p w14:paraId="2596C55A" w14:textId="6D4CDAD8" w:rsidR="00D77C0A" w:rsidRPr="00091AF0" w:rsidRDefault="007C094A" w:rsidP="005F1D69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lang w:val="fr-CA"/>
        </w:rPr>
      </w:pPr>
      <w:r w:rsidRPr="007C094A">
        <w:rPr>
          <w:rFonts w:ascii="Arial" w:hAnsi="Arial" w:cs="Arial"/>
          <w:color w:val="000000"/>
          <w:lang w:val="fr-CA"/>
        </w:rPr>
        <w:t>Depuis 2007, le gouvernement de l’Ontario exige que les garderies et les écoles procèdent à une chasse d’eau dans les conduites d’eau de leur établissement ainsi qu’à des analyses pour le plomb dans l’eau potable.</w:t>
      </w:r>
      <w:r w:rsidR="00D77C0A" w:rsidRPr="00091AF0">
        <w:rPr>
          <w:rFonts w:ascii="Arial" w:hAnsi="Arial" w:cs="Arial"/>
          <w:color w:val="000000"/>
          <w:lang w:val="fr-CA"/>
        </w:rPr>
        <w:t xml:space="preserve"> </w:t>
      </w:r>
      <w:r w:rsidRPr="005F1D69">
        <w:rPr>
          <w:rFonts w:ascii="Arial" w:hAnsi="Arial" w:cs="Arial"/>
          <w:color w:val="000000"/>
          <w:lang w:val="fr-CA"/>
        </w:rPr>
        <w:t>On a démontré que le rinçage de la tuyauterie permettait de diminuer le taux de plomb dans l’eau d</w:t>
      </w:r>
      <w:r w:rsidR="005F1D69" w:rsidRPr="005F1D69">
        <w:rPr>
          <w:rFonts w:ascii="Arial" w:hAnsi="Arial" w:cs="Arial"/>
          <w:color w:val="000000"/>
          <w:lang w:val="fr-CA"/>
        </w:rPr>
        <w:t>’</w:t>
      </w:r>
      <w:r w:rsidRPr="005F1D69">
        <w:rPr>
          <w:rFonts w:ascii="Arial" w:hAnsi="Arial" w:cs="Arial"/>
          <w:color w:val="000000"/>
          <w:lang w:val="fr-CA"/>
        </w:rPr>
        <w:t>u</w:t>
      </w:r>
      <w:r w:rsidR="005F1D69" w:rsidRPr="005F1D69">
        <w:rPr>
          <w:rFonts w:ascii="Arial" w:hAnsi="Arial" w:cs="Arial"/>
          <w:color w:val="000000"/>
          <w:lang w:val="fr-CA"/>
        </w:rPr>
        <w:t>n</w:t>
      </w:r>
      <w:r w:rsidRPr="005F1D69">
        <w:rPr>
          <w:rFonts w:ascii="Arial" w:hAnsi="Arial" w:cs="Arial"/>
          <w:color w:val="000000"/>
          <w:lang w:val="fr-CA"/>
        </w:rPr>
        <w:t xml:space="preserve"> robinet</w:t>
      </w:r>
      <w:r w:rsidR="005F1D69" w:rsidRPr="005F1D69">
        <w:rPr>
          <w:rFonts w:ascii="Arial" w:hAnsi="Arial" w:cs="Arial"/>
          <w:color w:val="000000"/>
          <w:lang w:val="fr-CA"/>
        </w:rPr>
        <w:t xml:space="preserve"> ou d’une fontaine</w:t>
      </w:r>
      <w:r w:rsidRPr="005F1D69">
        <w:rPr>
          <w:rFonts w:ascii="Arial" w:hAnsi="Arial" w:cs="Arial"/>
          <w:color w:val="000000"/>
          <w:lang w:val="fr-CA"/>
        </w:rPr>
        <w:t>.</w:t>
      </w:r>
      <w:r w:rsidR="00D77C0A" w:rsidRPr="00091AF0">
        <w:rPr>
          <w:rFonts w:ascii="Arial" w:hAnsi="Arial" w:cs="Arial"/>
          <w:color w:val="000000"/>
          <w:lang w:val="fr-CA"/>
        </w:rPr>
        <w:t xml:space="preserve"> </w:t>
      </w:r>
    </w:p>
    <w:p w14:paraId="2596C55B" w14:textId="4C4653FD" w:rsidR="00D77C0A" w:rsidRPr="00091AF0" w:rsidRDefault="005F1D69" w:rsidP="005F1D69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lang w:val="fr-CA"/>
        </w:rPr>
      </w:pPr>
      <w:r w:rsidRPr="005F1D69">
        <w:rPr>
          <w:rFonts w:ascii="Arial" w:hAnsi="Arial" w:cs="Arial"/>
          <w:color w:val="000000"/>
          <w:lang w:val="fr-CA"/>
        </w:rPr>
        <w:t xml:space="preserve">Le </w:t>
      </w:r>
      <w:r w:rsidRPr="005F1D69">
        <w:rPr>
          <w:rFonts w:ascii="Arial" w:hAnsi="Arial" w:cs="Arial"/>
          <w:i/>
          <w:color w:val="000000"/>
          <w:lang w:val="fr-CA"/>
        </w:rPr>
        <w:t>Règlement de l’Ontario 243/07</w:t>
      </w:r>
      <w:r w:rsidRPr="005F1D69">
        <w:rPr>
          <w:rFonts w:ascii="Arial" w:hAnsi="Arial" w:cs="Arial"/>
          <w:color w:val="000000"/>
          <w:lang w:val="fr-CA"/>
        </w:rPr>
        <w:t xml:space="preserve"> exige également des analyses mesurant la présence de plomb dans l’eau potable relativement à la norme de la province pour l’eau potable </w:t>
      </w:r>
      <w:r w:rsidRPr="005F1D69">
        <w:rPr>
          <w:rFonts w:ascii="Arial" w:hAnsi="Arial" w:cs="Arial"/>
          <w:color w:val="000000"/>
          <w:lang w:val="fr-CA"/>
        </w:rPr>
        <w:lastRenderedPageBreak/>
        <w:t>qui est de 10 microgrammes par litre, norme fondée sur une ligne directrice de Santé Canada.</w:t>
      </w:r>
    </w:p>
    <w:p w14:paraId="2596C560" w14:textId="4110FA56" w:rsidR="00D77C0A" w:rsidRPr="00091AF0" w:rsidRDefault="005F1D69" w:rsidP="001714B6">
      <w:pPr>
        <w:widowControl/>
        <w:spacing w:after="0" w:line="240" w:lineRule="auto"/>
        <w:rPr>
          <w:rFonts w:ascii="Arial" w:eastAsia="Century Schoolbook" w:hAnsi="Arial" w:cs="Arial"/>
          <w:b/>
          <w:color w:val="231F20"/>
          <w:spacing w:val="2"/>
          <w:sz w:val="24"/>
          <w:szCs w:val="24"/>
          <w:u w:val="single"/>
          <w:lang w:val="fr-CA"/>
        </w:rPr>
      </w:pPr>
      <w:r w:rsidRPr="005F1D69">
        <w:rPr>
          <w:rFonts w:ascii="Arial" w:hAnsi="Arial" w:cs="Arial"/>
          <w:color w:val="000000"/>
          <w:sz w:val="24"/>
          <w:szCs w:val="24"/>
          <w:lang w:val="fr-CA"/>
        </w:rPr>
        <w:t xml:space="preserve">Pour plus de renseignements sur le rinçage et l'échantillonnage pour le plomb dans les garderies et les écoles, voir le </w:t>
      </w:r>
      <w:hyperlink r:id="rId15" w:history="1">
        <w:r w:rsidRPr="005F1D69">
          <w:rPr>
            <w:rStyle w:val="Hyperlink"/>
            <w:rFonts w:ascii="Arial" w:hAnsi="Arial" w:cs="Arial"/>
            <w:sz w:val="24"/>
            <w:szCs w:val="24"/>
            <w:lang w:val="fr-CA"/>
          </w:rPr>
          <w:t>www.ontario.ca/drinkingwater</w:t>
        </w:r>
      </w:hyperlink>
      <w:r w:rsidRPr="005F1D69">
        <w:rPr>
          <w:rFonts w:ascii="Arial" w:hAnsi="Arial" w:cs="Arial"/>
          <w:color w:val="000000"/>
          <w:sz w:val="24"/>
          <w:szCs w:val="24"/>
          <w:lang w:val="fr-CA"/>
        </w:rPr>
        <w:t xml:space="preserve"> ou communiquez avec le Centre d’information du ministère de l’Environnement et de l’Action en matière de changement climatique, au 1 800 565-4923.</w:t>
      </w:r>
    </w:p>
    <w:sectPr w:rsidR="00D77C0A" w:rsidRPr="00091AF0" w:rsidSect="00BC35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6C56B" w14:textId="77777777" w:rsidR="00912B89" w:rsidRDefault="00A66E45">
      <w:pPr>
        <w:spacing w:after="0" w:line="240" w:lineRule="auto"/>
      </w:pPr>
      <w:r>
        <w:separator/>
      </w:r>
    </w:p>
  </w:endnote>
  <w:endnote w:type="continuationSeparator" w:id="0">
    <w:p w14:paraId="2596C56D" w14:textId="77777777" w:rsidR="00912B89" w:rsidRDefault="00A6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98E52" w14:textId="77777777" w:rsidR="00452800" w:rsidRDefault="004528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108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6BDB6" w14:textId="170CA299" w:rsidR="00C856A6" w:rsidRDefault="00C856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E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6C566" w14:textId="77777777" w:rsidR="00BC3559" w:rsidRDefault="009E0E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F5120" w14:textId="77777777" w:rsidR="00452800" w:rsidRDefault="00452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6C567" w14:textId="77777777" w:rsidR="00912B89" w:rsidRDefault="00A66E45">
      <w:pPr>
        <w:spacing w:after="0" w:line="240" w:lineRule="auto"/>
      </w:pPr>
      <w:r>
        <w:separator/>
      </w:r>
    </w:p>
  </w:footnote>
  <w:footnote w:type="continuationSeparator" w:id="0">
    <w:p w14:paraId="2596C569" w14:textId="77777777" w:rsidR="00912B89" w:rsidRDefault="00A66E45">
      <w:pPr>
        <w:spacing w:after="0" w:line="240" w:lineRule="auto"/>
      </w:pPr>
      <w:r>
        <w:continuationSeparator/>
      </w:r>
    </w:p>
  </w:footnote>
  <w:footnote w:id="1">
    <w:p w14:paraId="4D306ED0" w14:textId="1970A84E" w:rsidR="007C094A" w:rsidRPr="00D678AC" w:rsidRDefault="007C094A" w:rsidP="007C094A">
      <w:pPr>
        <w:pStyle w:val="FootnoteText"/>
        <w:rPr>
          <w:rFonts w:ascii="Arial" w:hAnsi="Arial" w:cs="Arial"/>
          <w:lang w:val="en-CA"/>
        </w:rPr>
      </w:pPr>
      <w:r w:rsidRPr="00D678AC">
        <w:rPr>
          <w:rStyle w:val="FootnoteReference"/>
          <w:rFonts w:ascii="Arial" w:hAnsi="Arial" w:cs="Arial"/>
        </w:rPr>
        <w:footnoteRef/>
      </w:r>
      <w:r w:rsidRPr="00091AF0">
        <w:rPr>
          <w:rFonts w:ascii="Arial" w:hAnsi="Arial" w:cs="Arial"/>
          <w:lang w:val="fr-CA"/>
        </w:rPr>
        <w:t xml:space="preserve"> </w:t>
      </w:r>
      <w:r w:rsidRPr="00091AF0">
        <w:rPr>
          <w:rFonts w:ascii="Arial" w:eastAsia="Times New Roman" w:hAnsi="Arial" w:cs="Arial"/>
          <w:sz w:val="18"/>
          <w:szCs w:val="18"/>
          <w:lang w:val="fr-CA"/>
        </w:rPr>
        <w:t xml:space="preserve">Organisation mondiale de la santé : Intoxication au plomb et santé. </w:t>
      </w:r>
      <w:hyperlink r:id="rId1" w:history="1">
        <w:r w:rsidRPr="007C094A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CA"/>
          </w:rPr>
          <w:t>http://www.who.int/mediacentre/factsheets/fs379/fr/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FFA31" w14:textId="77777777" w:rsidR="00452800" w:rsidRDefault="00452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A678E" w14:textId="77777777" w:rsidR="00452800" w:rsidRDefault="004528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CDEA0" w14:textId="77777777" w:rsidR="00452800" w:rsidRDefault="004528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553"/>
    <w:multiLevelType w:val="hybridMultilevel"/>
    <w:tmpl w:val="01603E6E"/>
    <w:lvl w:ilvl="0" w:tplc="1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0A"/>
    <w:rsid w:val="00091AF0"/>
    <w:rsid w:val="001714B6"/>
    <w:rsid w:val="001807B2"/>
    <w:rsid w:val="001931E9"/>
    <w:rsid w:val="001F06A3"/>
    <w:rsid w:val="00252739"/>
    <w:rsid w:val="002719FD"/>
    <w:rsid w:val="002C2B9D"/>
    <w:rsid w:val="00374713"/>
    <w:rsid w:val="003D25FA"/>
    <w:rsid w:val="003F48C2"/>
    <w:rsid w:val="00452800"/>
    <w:rsid w:val="00463386"/>
    <w:rsid w:val="00520577"/>
    <w:rsid w:val="005B566B"/>
    <w:rsid w:val="005F1D69"/>
    <w:rsid w:val="006A6405"/>
    <w:rsid w:val="007368B9"/>
    <w:rsid w:val="007C094A"/>
    <w:rsid w:val="008179AA"/>
    <w:rsid w:val="00893E10"/>
    <w:rsid w:val="00907C92"/>
    <w:rsid w:val="00912B89"/>
    <w:rsid w:val="00951FAB"/>
    <w:rsid w:val="009E0E8E"/>
    <w:rsid w:val="00A2557C"/>
    <w:rsid w:val="00A66E45"/>
    <w:rsid w:val="00B93B21"/>
    <w:rsid w:val="00BB089A"/>
    <w:rsid w:val="00C856A6"/>
    <w:rsid w:val="00D678AC"/>
    <w:rsid w:val="00D77C0A"/>
    <w:rsid w:val="00DD7401"/>
    <w:rsid w:val="00E03996"/>
    <w:rsid w:val="00E62400"/>
    <w:rsid w:val="00F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6C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0A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C856A6"/>
    <w:pPr>
      <w:keepNext/>
      <w:widowControl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C856A6"/>
    <w:pPr>
      <w:keepNext/>
      <w:widowControl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C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C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C0A"/>
    <w:rPr>
      <w:lang w:val="en-US"/>
    </w:rPr>
  </w:style>
  <w:style w:type="paragraph" w:styleId="ListParagraph">
    <w:name w:val="List Paragraph"/>
    <w:basedOn w:val="Normal"/>
    <w:uiPriority w:val="34"/>
    <w:qFormat/>
    <w:rsid w:val="00D77C0A"/>
    <w:pPr>
      <w:widowControl/>
      <w:ind w:left="720"/>
      <w:contextualSpacing/>
    </w:pPr>
    <w:rPr>
      <w:rFonts w:ascii="Calibri" w:eastAsia="Calibri" w:hAnsi="Calibri" w:cs="Calibri"/>
      <w:sz w:val="24"/>
      <w:szCs w:val="24"/>
      <w:lang w:val="en-CA"/>
    </w:rPr>
  </w:style>
  <w:style w:type="paragraph" w:styleId="NormalWeb">
    <w:name w:val="Normal (Web)"/>
    <w:basedOn w:val="Normal"/>
    <w:uiPriority w:val="99"/>
    <w:semiHidden/>
    <w:rsid w:val="00D77C0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66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E4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E4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45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48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8C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F48C2"/>
    <w:rPr>
      <w:vertAlign w:val="superscript"/>
    </w:rPr>
  </w:style>
  <w:style w:type="paragraph" w:styleId="Revision">
    <w:name w:val="Revision"/>
    <w:hidden/>
    <w:uiPriority w:val="99"/>
    <w:semiHidden/>
    <w:rsid w:val="00BB089A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C856A6"/>
    <w:rPr>
      <w:rFonts w:ascii="Arial" w:eastAsiaTheme="majorEastAsia" w:hAnsi="Arial" w:cstheme="majorBidi"/>
      <w:b/>
      <w:bCs/>
      <w:kern w:val="32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C856A6"/>
    <w:rPr>
      <w:rFonts w:ascii="Arial" w:eastAsiaTheme="majorEastAsia" w:hAnsi="Arial" w:cstheme="majorBidi"/>
      <w:b/>
      <w:bCs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0A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C856A6"/>
    <w:pPr>
      <w:keepNext/>
      <w:widowControl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C856A6"/>
    <w:pPr>
      <w:keepNext/>
      <w:widowControl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C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C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C0A"/>
    <w:rPr>
      <w:lang w:val="en-US"/>
    </w:rPr>
  </w:style>
  <w:style w:type="paragraph" w:styleId="ListParagraph">
    <w:name w:val="List Paragraph"/>
    <w:basedOn w:val="Normal"/>
    <w:uiPriority w:val="34"/>
    <w:qFormat/>
    <w:rsid w:val="00D77C0A"/>
    <w:pPr>
      <w:widowControl/>
      <w:ind w:left="720"/>
      <w:contextualSpacing/>
    </w:pPr>
    <w:rPr>
      <w:rFonts w:ascii="Calibri" w:eastAsia="Calibri" w:hAnsi="Calibri" w:cs="Calibri"/>
      <w:sz w:val="24"/>
      <w:szCs w:val="24"/>
      <w:lang w:val="en-CA"/>
    </w:rPr>
  </w:style>
  <w:style w:type="paragraph" w:styleId="NormalWeb">
    <w:name w:val="Normal (Web)"/>
    <w:basedOn w:val="Normal"/>
    <w:uiPriority w:val="99"/>
    <w:semiHidden/>
    <w:rsid w:val="00D77C0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66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E4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E4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45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48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8C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F48C2"/>
    <w:rPr>
      <w:vertAlign w:val="superscript"/>
    </w:rPr>
  </w:style>
  <w:style w:type="paragraph" w:styleId="Revision">
    <w:name w:val="Revision"/>
    <w:hidden/>
    <w:uiPriority w:val="99"/>
    <w:semiHidden/>
    <w:rsid w:val="00BB089A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C856A6"/>
    <w:rPr>
      <w:rFonts w:ascii="Arial" w:eastAsiaTheme="majorEastAsia" w:hAnsi="Arial" w:cstheme="majorBidi"/>
      <w:b/>
      <w:bCs/>
      <w:kern w:val="32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C856A6"/>
    <w:rPr>
      <w:rFonts w:ascii="Arial" w:eastAsiaTheme="majorEastAsia" w:hAnsi="Arial" w:cstheme="majorBidi"/>
      <w:b/>
      <w:bCs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ontario.ca/drinkingwater" TargetMode="External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.int/mediacentre/factsheets/fs379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cord_x0020_schedule_x002f_series xmlns="9613e380-6c0d-4db7-9f0e-52693dbd109b" xsi:nil="true"/>
    <_dlc_DocId xmlns="fb2cead6-1dc7-420e-bf34-7325a73e3688">JPJ3M45QCHY6-445921138-138</_dlc_DocId>
    <_dlc_DocIdUrl xmlns="fb2cead6-1dc7-420e-bf34-7325a73e3688">
      <Url>https://intra.sse.gov.on.ca/MOE/DWMD/DWPB/COR/_layouts/DocIdRedir.aspx?ID=JPJ3M45QCHY6-445921138-138</Url>
      <Description>JPJ3M45QCHY6-445921138-138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D045E71E70E4CB41A5D54980C042A618" ma:contentTypeVersion="31" ma:contentTypeDescription="Create a new document." ma:contentTypeScope="" ma:versionID="f593ddd8b435229a35742c18490610a0">
  <xsd:schema xmlns:xsd="http://www.w3.org/2001/XMLSchema" xmlns:xs="http://www.w3.org/2001/XMLSchema" xmlns:p="http://schemas.microsoft.com/office/2006/metadata/properties" xmlns:ns1="http://schemas.microsoft.com/sharepoint/v3" xmlns:ns2="fb2cead6-1dc7-420e-bf34-7325a73e3688" xmlns:ns3="9613e380-6c0d-4db7-9f0e-52693dbd109b" xmlns:ns4="http://schemas.microsoft.com/sharepoint/v4" targetNamespace="http://schemas.microsoft.com/office/2006/metadata/properties" ma:root="true" ma:fieldsID="79eff549e95ecce349cc08df27a53187" ns1:_="" ns2:_="" ns3:_="" ns4:_="">
    <xsd:import namespace="http://schemas.microsoft.com/sharepoint/v3"/>
    <xsd:import namespace="fb2cead6-1dc7-420e-bf34-7325a73e3688"/>
    <xsd:import namespace="9613e380-6c0d-4db7-9f0e-52693dbd109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IconOverlay" minOccurs="0"/>
                <xsd:element ref="ns3:record_x0020_schedule_x002f_series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cead6-1dc7-420e-bf34-7325a73e36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e380-6c0d-4db7-9f0e-52693dbd109b" elementFormDefault="qualified">
    <xsd:import namespace="http://schemas.microsoft.com/office/2006/documentManagement/types"/>
    <xsd:import namespace="http://schemas.microsoft.com/office/infopath/2007/PartnerControls"/>
    <xsd:element name="record_x0020_schedule_x002f_series" ma:index="14" nillable="true" ma:displayName="record schedule/series" ma:list="{39D71D32-675A-4F1F-BE0D-C1E43D423A82}" ma:internalName="record_x0020_schedule_x002f_series" ma:showField="Record_x0020_Series_x0020_Title" ma:web="cbeb8ea5-baaf-479c-9a94-a03dff3e847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|645367742" UniqueId="c8b509da-c860-47ed-9e80-b3646b12abf6">
      <p:Name>Retention</p:Name>
      <p:Description>Automatic scheduling of content for processing, and performing a retention action on content that has reached its due date.</p:Description>
      <p:CustomData>
        <Schedules nextStageId="5" default="false">
          <Schedule type="Default">
            <stages/>
          </Schedule>
          <Schedule type="Record">
            <stages>
              <data stageId="2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days</period>
                </formula>
                <action type="workflow" id="d6ea4cb0-07f9-43d9-99ad-4a9a44f06f50"/>
              </data>
              <data stageId="1">
                <formula id="Microsoft.Office.RecordsManagement.PolicyFeatures.Expiration.Formula.BuiltIn">
                  <number>2</number>
                  <property>_vti_ItemDeclaredRecord</property>
                  <propertyId>f9a44731-84eb-43a4-9973-cd2953ad8646</propertyId>
                  <period>days</period>
                </formula>
                <action type="workflow" id="a7bf52dd-f6a3-465a-8999-210e48cebb78"/>
              </data>
              <data stageId="3">
                <formula id="Microsoft.Office.RecordsManagement.PolicyFeatures.Expiration.Formula.BuiltIn">
                  <number>3</number>
                  <property>_vti_ItemDeclaredRecord</property>
                  <propertyId>f9a44731-84eb-43a4-9973-cd2953ad8646</propertyId>
                  <period>days</period>
                </formula>
                <action type="workflow" id="cd737d19-ae7e-47a4-b17a-8b9b98e40845"/>
              </data>
              <data stageId="4">
                <formula id="Microsoft.Office.RecordsManagement.PolicyFeatures.Expiration.Formula.BuiltIn">
                  <number>4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0251-ED67-46F5-9E30-9091C3B9E787}">
  <ds:schemaRefs>
    <ds:schemaRef ds:uri="http://schemas.microsoft.com/sharepoint/v3"/>
    <ds:schemaRef ds:uri="http://schemas.microsoft.com/office/2006/documentManagement/types"/>
    <ds:schemaRef ds:uri="http://purl.org/dc/elements/1.1/"/>
    <ds:schemaRef ds:uri="9613e380-6c0d-4db7-9f0e-52693dbd109b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b2cead6-1dc7-420e-bf34-7325a73e3688"/>
  </ds:schemaRefs>
</ds:datastoreItem>
</file>

<file path=customXml/itemProps2.xml><?xml version="1.0" encoding="utf-8"?>
<ds:datastoreItem xmlns:ds="http://schemas.openxmlformats.org/officeDocument/2006/customXml" ds:itemID="{9AE81AAB-51F2-4172-B200-88E93FAAFDF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29F0FC6-E434-4C4E-8DF1-8C1CC65D5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2cead6-1dc7-420e-bf34-7325a73e3688"/>
    <ds:schemaRef ds:uri="9613e380-6c0d-4db7-9f0e-52693dbd109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C6DB7-8C49-47C4-92DB-292A3EB96E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A25EB0-D951-4D02-934A-207D8ED3E1F8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1A34C54-53BD-4D61-98AA-CBCE799AD7E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F9AA3E5-AA7F-4EF4-A3F1-A95A15C5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MGS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MacLean, Chris (ENE)</dc:creator>
  <cp:lastModifiedBy>MacLean, Chris (ENE)</cp:lastModifiedBy>
  <cp:revision>2</cp:revision>
  <cp:lastPrinted>2017-05-03T13:51:00Z</cp:lastPrinted>
  <dcterms:created xsi:type="dcterms:W3CDTF">2017-06-12T20:45:00Z</dcterms:created>
  <dcterms:modified xsi:type="dcterms:W3CDTF">2017-06-12T20:45:00Z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0x010100D045E71E70E4CB41A5D54980C042A618</vt:lpwstr>
  </property>
  <property fmtid="{D5CDD505-2E9C-101B-9397-08002B2CF9AE}" pid="3" name="ItemRetentionFormula">
    <vt:lpwstr/>
  </property>
  <property fmtid="{D5CDD505-2E9C-101B-9397-08002B2CF9AE}" pid="4" name="_dlc_policyId">
    <vt:lpwstr>0x0101|645367742</vt:lpwstr>
  </property>
  <property fmtid="{D5CDD505-2E9C-101B-9397-08002B2CF9AE}" pid="5" name="_dlc_DocIdItemGuid">
    <vt:lpwstr>3073210e-5938-40b6-bed9-f7cb4ea16c4b</vt:lpwstr>
  </property>
</Properties>
</file>