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3E1" w:rsidRDefault="00C64D28" w:rsidP="00FF4BF7">
      <w:pPr>
        <w:pStyle w:val="Heading1"/>
      </w:pPr>
      <w:bookmarkStart w:id="0" w:name="_GoBack"/>
      <w:bookmarkEnd w:id="0"/>
      <w:r w:rsidRPr="0032160E">
        <w:rPr>
          <w:i/>
        </w:rPr>
        <w:t>Ontario Regulation 243/07</w:t>
      </w:r>
      <w:r w:rsidRPr="00FF4BF7">
        <w:t xml:space="preserve"> (Schools, Private Schools and Child Care Centres)</w:t>
      </w:r>
    </w:p>
    <w:p w:rsidR="00C64D28" w:rsidRPr="00F56589" w:rsidRDefault="00C64D28" w:rsidP="00F56589">
      <w:pPr>
        <w:pStyle w:val="Heading2"/>
      </w:pPr>
      <w:r w:rsidRPr="00F56589">
        <w:t>Communications for Changes Effective July 1, 2017</w:t>
      </w:r>
    </w:p>
    <w:p w:rsidR="00C64D28" w:rsidRPr="00F56589" w:rsidRDefault="00C64D28" w:rsidP="00F56589">
      <w:pPr>
        <w:pStyle w:val="Heading2"/>
      </w:pPr>
      <w:r w:rsidRPr="00F56589">
        <w:t xml:space="preserve">Information for </w:t>
      </w:r>
      <w:r w:rsidR="00BB0BF5" w:rsidRPr="00F56589">
        <w:t xml:space="preserve">Early Childhood Educators and </w:t>
      </w:r>
      <w:r w:rsidRPr="00F56589">
        <w:t>Teache</w:t>
      </w:r>
      <w:r w:rsidR="00BB0BF5" w:rsidRPr="00F56589">
        <w:t>rs</w:t>
      </w:r>
      <w:r w:rsidRPr="00F56589">
        <w:t>:</w:t>
      </w:r>
    </w:p>
    <w:p w:rsidR="00C64D28" w:rsidRPr="00630322" w:rsidRDefault="00C64D28" w:rsidP="00C64D28">
      <w:pPr>
        <w:rPr>
          <w:rFonts w:ascii="Arial" w:hAnsi="Arial" w:cs="Arial"/>
          <w:b/>
          <w:bCs/>
        </w:rPr>
      </w:pPr>
    </w:p>
    <w:p w:rsidR="00C64D28" w:rsidRPr="0032160E" w:rsidRDefault="00C64D28" w:rsidP="00C64D28">
      <w:pPr>
        <w:rPr>
          <w:rFonts w:ascii="Arial" w:hAnsi="Arial" w:cs="Arial"/>
          <w:b/>
          <w:bCs/>
        </w:rPr>
      </w:pPr>
      <w:r w:rsidRPr="0032160E">
        <w:rPr>
          <w:rFonts w:ascii="Arial" w:hAnsi="Arial" w:cs="Arial"/>
          <w:color w:val="000000"/>
        </w:rPr>
        <w:t xml:space="preserve">This information sheet is to be used by </w:t>
      </w:r>
      <w:r w:rsidR="00BB0BF5" w:rsidRPr="0032160E">
        <w:rPr>
          <w:rFonts w:ascii="Arial" w:hAnsi="Arial" w:cs="Arial"/>
          <w:color w:val="000000"/>
        </w:rPr>
        <w:t xml:space="preserve">early childhood educators and </w:t>
      </w:r>
      <w:r w:rsidRPr="0032160E">
        <w:rPr>
          <w:rFonts w:ascii="Arial" w:hAnsi="Arial" w:cs="Arial"/>
          <w:color w:val="000000"/>
        </w:rPr>
        <w:t>teacher</w:t>
      </w:r>
      <w:r w:rsidR="00BB0BF5" w:rsidRPr="0032160E">
        <w:rPr>
          <w:rFonts w:ascii="Arial" w:hAnsi="Arial" w:cs="Arial"/>
          <w:color w:val="000000"/>
        </w:rPr>
        <w:t xml:space="preserve">s </w:t>
      </w:r>
      <w:r w:rsidRPr="0032160E">
        <w:rPr>
          <w:rFonts w:ascii="Arial" w:hAnsi="Arial" w:cs="Arial"/>
          <w:color w:val="000000"/>
        </w:rPr>
        <w:t xml:space="preserve">to help them know about changes to flushing and sampling for lead as a result of updates to </w:t>
      </w:r>
      <w:r w:rsidRPr="0032160E">
        <w:rPr>
          <w:rFonts w:ascii="Arial" w:hAnsi="Arial" w:cs="Arial"/>
          <w:i/>
          <w:color w:val="000000"/>
        </w:rPr>
        <w:t>Ontario Regulation 243/07</w:t>
      </w:r>
      <w:r w:rsidRPr="0032160E">
        <w:rPr>
          <w:rFonts w:ascii="Arial" w:hAnsi="Arial" w:cs="Arial"/>
          <w:color w:val="000000"/>
        </w:rPr>
        <w:t xml:space="preserve"> effective July 1, 2017. </w:t>
      </w:r>
      <w:r w:rsidR="007D59B4" w:rsidRPr="0032160E">
        <w:rPr>
          <w:rFonts w:ascii="Arial" w:hAnsi="Arial" w:cs="Arial"/>
          <w:color w:val="000000"/>
        </w:rPr>
        <w:t>Early childhood educators and t</w:t>
      </w:r>
      <w:r w:rsidRPr="0032160E">
        <w:rPr>
          <w:rFonts w:ascii="Arial" w:hAnsi="Arial" w:cs="Arial"/>
          <w:color w:val="000000"/>
        </w:rPr>
        <w:t xml:space="preserve">eachers may also use this information to inform children and answer questions parents/guardians may have about lead testing. </w:t>
      </w:r>
    </w:p>
    <w:p w:rsidR="00C64D28" w:rsidRPr="00630322" w:rsidRDefault="00C64D28" w:rsidP="00FF4BF7">
      <w:pPr>
        <w:pStyle w:val="Heading2"/>
      </w:pPr>
      <w:r w:rsidRPr="00630322">
        <w:t xml:space="preserve">What are the changes to flushing and sampling for lead that are affecting my </w:t>
      </w:r>
      <w:r w:rsidR="004E0C1D">
        <w:t xml:space="preserve">child care </w:t>
      </w:r>
      <w:proofErr w:type="spellStart"/>
      <w:r w:rsidR="004E0C1D">
        <w:t>centre</w:t>
      </w:r>
      <w:proofErr w:type="spellEnd"/>
      <w:r w:rsidR="004E0C1D">
        <w:t xml:space="preserve"> or school</w:t>
      </w:r>
      <w:r w:rsidRPr="00630322">
        <w:t>?</w:t>
      </w:r>
    </w:p>
    <w:p w:rsidR="00C64D28" w:rsidRPr="00630322" w:rsidRDefault="00C64D28" w:rsidP="00C64D28">
      <w:pPr>
        <w:rPr>
          <w:rFonts w:ascii="Arial" w:hAnsi="Arial" w:cs="Arial"/>
        </w:rPr>
      </w:pPr>
      <w:r w:rsidRPr="00630322">
        <w:rPr>
          <w:rFonts w:ascii="Arial" w:hAnsi="Arial" w:cs="Arial"/>
        </w:rPr>
        <w:t xml:space="preserve">The Ministry of the Environment and Climate Change (MOECC) has updated </w:t>
      </w:r>
      <w:r w:rsidRPr="0032160E">
        <w:rPr>
          <w:rFonts w:ascii="Arial" w:hAnsi="Arial" w:cs="Arial"/>
          <w:i/>
        </w:rPr>
        <w:t>Ontario Regulation 243/07</w:t>
      </w:r>
      <w:r w:rsidRPr="00630322">
        <w:rPr>
          <w:rFonts w:ascii="Arial" w:hAnsi="Arial" w:cs="Arial"/>
        </w:rPr>
        <w:t xml:space="preserve">. </w:t>
      </w:r>
    </w:p>
    <w:p w:rsidR="00C64D28" w:rsidRPr="00630322" w:rsidRDefault="00C64D28" w:rsidP="00C64D28">
      <w:pPr>
        <w:rPr>
          <w:rFonts w:ascii="Arial" w:hAnsi="Arial" w:cs="Arial"/>
        </w:rPr>
      </w:pPr>
    </w:p>
    <w:p w:rsidR="00C64D28" w:rsidRPr="00630322" w:rsidRDefault="00C64D28" w:rsidP="00C64D28">
      <w:pPr>
        <w:rPr>
          <w:rFonts w:ascii="Arial" w:eastAsia="Century Schoolbook" w:hAnsi="Arial" w:cs="Arial"/>
          <w:spacing w:val="2"/>
        </w:rPr>
      </w:pPr>
      <w:r w:rsidRPr="00630322">
        <w:rPr>
          <w:rFonts w:ascii="Arial" w:eastAsia="Century Schoolbook" w:hAnsi="Arial" w:cs="Arial"/>
          <w:spacing w:val="2"/>
        </w:rPr>
        <w:t xml:space="preserve">Since 2007, the Ontario government has been requiring </w:t>
      </w:r>
      <w:r w:rsidR="0090304F">
        <w:rPr>
          <w:rFonts w:ascii="Arial" w:eastAsia="Century Schoolbook" w:hAnsi="Arial" w:cs="Arial"/>
          <w:spacing w:val="2"/>
        </w:rPr>
        <w:t xml:space="preserve">child care centres and </w:t>
      </w:r>
      <w:r w:rsidRPr="00630322">
        <w:rPr>
          <w:rFonts w:ascii="Arial" w:eastAsia="Century Schoolbook" w:hAnsi="Arial" w:cs="Arial"/>
          <w:spacing w:val="2"/>
        </w:rPr>
        <w:t xml:space="preserve">schools to flush the plumbing in their facilities and test their drinking water for lead. </w:t>
      </w:r>
    </w:p>
    <w:p w:rsidR="00C64D28" w:rsidRPr="00630322" w:rsidRDefault="00C64D28" w:rsidP="00C64D28">
      <w:pPr>
        <w:rPr>
          <w:rFonts w:ascii="Arial" w:eastAsia="Century Schoolbook" w:hAnsi="Arial" w:cs="Arial"/>
          <w:spacing w:val="2"/>
        </w:rPr>
      </w:pPr>
    </w:p>
    <w:p w:rsidR="00C64D28" w:rsidRPr="00630322" w:rsidRDefault="0040676F" w:rsidP="00C64D28">
      <w:pPr>
        <w:rPr>
          <w:rFonts w:ascii="Arial" w:eastAsia="Century Schoolbook" w:hAnsi="Arial" w:cs="Arial"/>
          <w:spacing w:val="2"/>
        </w:rPr>
      </w:pPr>
      <w:r>
        <w:rPr>
          <w:rFonts w:ascii="Arial" w:eastAsia="Century Schoolbook" w:hAnsi="Arial" w:cs="Arial"/>
          <w:spacing w:val="2"/>
        </w:rPr>
        <w:t xml:space="preserve">New amendments to </w:t>
      </w:r>
      <w:r w:rsidRPr="0032160E">
        <w:rPr>
          <w:rFonts w:ascii="Arial" w:eastAsia="Century Schoolbook" w:hAnsi="Arial" w:cs="Arial"/>
          <w:i/>
          <w:spacing w:val="2"/>
        </w:rPr>
        <w:t>Ontario Regulation 243/07</w:t>
      </w:r>
      <w:r w:rsidR="00C64D28" w:rsidRPr="00630322">
        <w:rPr>
          <w:rFonts w:ascii="Arial" w:eastAsia="Century Schoolbook" w:hAnsi="Arial" w:cs="Arial"/>
          <w:spacing w:val="2"/>
        </w:rPr>
        <w:t xml:space="preserve"> that take effect July 1, 2017 will now require lead testing within these facilities for </w:t>
      </w:r>
      <w:r w:rsidR="00C64D28" w:rsidRPr="00630322">
        <w:rPr>
          <w:rFonts w:ascii="Arial" w:eastAsia="Century Schoolbook" w:hAnsi="Arial" w:cs="Arial"/>
          <w:b/>
          <w:spacing w:val="2"/>
          <w:u w:val="single"/>
        </w:rPr>
        <w:t>all</w:t>
      </w:r>
      <w:r w:rsidR="00C64D28" w:rsidRPr="00630322">
        <w:rPr>
          <w:rFonts w:ascii="Arial" w:eastAsia="Century Schoolbook" w:hAnsi="Arial" w:cs="Arial"/>
          <w:spacing w:val="2"/>
        </w:rPr>
        <w:t xml:space="preserve"> fixtures used to provide drinking water and/or prepare food or drink for children under 18.</w:t>
      </w:r>
    </w:p>
    <w:p w:rsidR="00C64D28" w:rsidRPr="00630322" w:rsidRDefault="00C64D28" w:rsidP="00C64D28">
      <w:pPr>
        <w:rPr>
          <w:rFonts w:ascii="Arial" w:eastAsia="Century Schoolbook" w:hAnsi="Arial" w:cs="Arial"/>
          <w:spacing w:val="2"/>
        </w:rPr>
      </w:pPr>
    </w:p>
    <w:p w:rsidR="00C64D28" w:rsidRPr="00630322" w:rsidRDefault="00C64D28" w:rsidP="00C64D28">
      <w:pPr>
        <w:rPr>
          <w:rFonts w:ascii="Arial" w:hAnsi="Arial" w:cs="Arial"/>
          <w:color w:val="222222"/>
          <w:lang w:eastAsia="en-CA"/>
        </w:rPr>
      </w:pPr>
      <w:r w:rsidRPr="00630322">
        <w:rPr>
          <w:rFonts w:ascii="Arial" w:hAnsi="Arial" w:cs="Arial"/>
          <w:color w:val="222222"/>
          <w:lang w:eastAsia="en-CA"/>
        </w:rPr>
        <w:t xml:space="preserve">If there are drinking water fixtures that have not been sampled under </w:t>
      </w:r>
      <w:r w:rsidRPr="0032160E">
        <w:rPr>
          <w:rFonts w:ascii="Arial" w:hAnsi="Arial" w:cs="Arial"/>
          <w:i/>
          <w:color w:val="222222"/>
          <w:lang w:eastAsia="en-CA"/>
        </w:rPr>
        <w:t>O. Reg. 243/07</w:t>
      </w:r>
      <w:r w:rsidRPr="00630322">
        <w:rPr>
          <w:rFonts w:ascii="Arial" w:hAnsi="Arial" w:cs="Arial"/>
          <w:color w:val="222222"/>
          <w:lang w:eastAsia="en-CA"/>
        </w:rPr>
        <w:t xml:space="preserve">, they need to be sampled by the following timelines. </w:t>
      </w:r>
    </w:p>
    <w:p w:rsidR="00C64D28" w:rsidRPr="00630322" w:rsidRDefault="00C64D28" w:rsidP="00B33877">
      <w:pPr>
        <w:pStyle w:val="Heading2"/>
        <w:rPr>
          <w:lang w:eastAsia="en-CA"/>
        </w:rPr>
      </w:pPr>
      <w:r w:rsidRPr="00630322">
        <w:rPr>
          <w:lang w:eastAsia="en-CA"/>
        </w:rPr>
        <w:t>Timelines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4"/>
        <w:gridCol w:w="4132"/>
      </w:tblGrid>
      <w:tr w:rsidR="00C64D28" w:rsidRPr="00630322" w:rsidTr="001C43E1">
        <w:trPr>
          <w:tblHeader/>
        </w:trPr>
        <w:tc>
          <w:tcPr>
            <w:tcW w:w="4184" w:type="dxa"/>
          </w:tcPr>
          <w:p w:rsidR="00C64D28" w:rsidRPr="00630322" w:rsidRDefault="00C64D28" w:rsidP="005047C8">
            <w:pPr>
              <w:rPr>
                <w:rFonts w:ascii="Arial" w:hAnsi="Arial" w:cs="Arial"/>
                <w:color w:val="222222"/>
                <w:lang w:eastAsia="en-CA"/>
              </w:rPr>
            </w:pPr>
            <w:r w:rsidRPr="00630322">
              <w:rPr>
                <w:rFonts w:ascii="Arial" w:hAnsi="Arial" w:cs="Arial"/>
                <w:color w:val="222222"/>
                <w:lang w:eastAsia="en-CA"/>
              </w:rPr>
              <w:t>Child care centres</w:t>
            </w:r>
          </w:p>
        </w:tc>
        <w:tc>
          <w:tcPr>
            <w:tcW w:w="4132" w:type="dxa"/>
          </w:tcPr>
          <w:p w:rsidR="00C64D28" w:rsidRPr="00630322" w:rsidRDefault="00C64D28" w:rsidP="005047C8">
            <w:pPr>
              <w:rPr>
                <w:rFonts w:ascii="Arial" w:hAnsi="Arial" w:cs="Arial"/>
                <w:color w:val="222222"/>
                <w:lang w:eastAsia="en-CA"/>
              </w:rPr>
            </w:pPr>
            <w:r w:rsidRPr="00630322">
              <w:rPr>
                <w:rFonts w:ascii="Arial" w:hAnsi="Arial" w:cs="Arial"/>
                <w:color w:val="222222"/>
                <w:lang w:eastAsia="en-CA"/>
              </w:rPr>
              <w:t>By January 1, 2020</w:t>
            </w:r>
          </w:p>
        </w:tc>
      </w:tr>
      <w:tr w:rsidR="00C64D28" w:rsidRPr="00630322" w:rsidTr="005047C8">
        <w:tc>
          <w:tcPr>
            <w:tcW w:w="4184" w:type="dxa"/>
          </w:tcPr>
          <w:p w:rsidR="00C64D28" w:rsidRPr="00630322" w:rsidRDefault="00C64D28" w:rsidP="005047C8">
            <w:pPr>
              <w:rPr>
                <w:rFonts w:ascii="Arial" w:hAnsi="Arial" w:cs="Arial"/>
                <w:color w:val="222222"/>
                <w:lang w:eastAsia="en-CA"/>
              </w:rPr>
            </w:pPr>
            <w:r w:rsidRPr="00630322">
              <w:rPr>
                <w:rFonts w:ascii="Arial" w:hAnsi="Arial" w:cs="Arial"/>
                <w:color w:val="222222"/>
                <w:lang w:eastAsia="en-CA"/>
              </w:rPr>
              <w:t xml:space="preserve">Schools with a primary division </w:t>
            </w:r>
          </w:p>
        </w:tc>
        <w:tc>
          <w:tcPr>
            <w:tcW w:w="4132" w:type="dxa"/>
          </w:tcPr>
          <w:p w:rsidR="00C64D28" w:rsidRPr="00630322" w:rsidRDefault="00C64D28" w:rsidP="005047C8">
            <w:pPr>
              <w:rPr>
                <w:rFonts w:ascii="Arial" w:hAnsi="Arial" w:cs="Arial"/>
                <w:color w:val="222222"/>
                <w:lang w:eastAsia="en-CA"/>
              </w:rPr>
            </w:pPr>
            <w:r w:rsidRPr="00630322">
              <w:rPr>
                <w:rFonts w:ascii="Arial" w:hAnsi="Arial" w:cs="Arial"/>
                <w:color w:val="222222"/>
                <w:lang w:eastAsia="en-CA"/>
              </w:rPr>
              <w:t>By January 1, 2020</w:t>
            </w:r>
          </w:p>
        </w:tc>
      </w:tr>
      <w:tr w:rsidR="00C64D28" w:rsidRPr="00630322" w:rsidTr="005047C8">
        <w:tc>
          <w:tcPr>
            <w:tcW w:w="4184" w:type="dxa"/>
          </w:tcPr>
          <w:p w:rsidR="00C64D28" w:rsidRPr="00630322" w:rsidRDefault="00C64D28" w:rsidP="005047C8">
            <w:pPr>
              <w:rPr>
                <w:rFonts w:ascii="Arial" w:hAnsi="Arial" w:cs="Arial"/>
                <w:color w:val="222222"/>
                <w:lang w:eastAsia="en-CA"/>
              </w:rPr>
            </w:pPr>
            <w:r w:rsidRPr="00630322">
              <w:rPr>
                <w:rFonts w:ascii="Arial" w:hAnsi="Arial" w:cs="Arial"/>
                <w:color w:val="222222"/>
                <w:lang w:eastAsia="en-CA"/>
              </w:rPr>
              <w:t xml:space="preserve">Other schools </w:t>
            </w:r>
          </w:p>
        </w:tc>
        <w:tc>
          <w:tcPr>
            <w:tcW w:w="4132" w:type="dxa"/>
          </w:tcPr>
          <w:p w:rsidR="00C64D28" w:rsidRPr="00630322" w:rsidRDefault="00C64D28" w:rsidP="005047C8">
            <w:pPr>
              <w:rPr>
                <w:rFonts w:ascii="Arial" w:hAnsi="Arial" w:cs="Arial"/>
                <w:color w:val="222222"/>
                <w:lang w:eastAsia="en-CA"/>
              </w:rPr>
            </w:pPr>
            <w:r w:rsidRPr="00630322">
              <w:rPr>
                <w:rFonts w:ascii="Arial" w:hAnsi="Arial" w:cs="Arial"/>
                <w:color w:val="222222"/>
                <w:lang w:eastAsia="en-CA"/>
              </w:rPr>
              <w:t>By January 1, 2022</w:t>
            </w:r>
          </w:p>
        </w:tc>
      </w:tr>
    </w:tbl>
    <w:p w:rsidR="00C64D28" w:rsidRPr="00630322" w:rsidRDefault="00C64D28" w:rsidP="00FF4BF7">
      <w:pPr>
        <w:pStyle w:val="Heading2"/>
      </w:pPr>
      <w:r w:rsidRPr="00630322">
        <w:t>What is a “drinking water fixture”?</w:t>
      </w:r>
    </w:p>
    <w:p w:rsidR="00C64D28" w:rsidRPr="00630322" w:rsidRDefault="00C64D28" w:rsidP="00C64D28">
      <w:pPr>
        <w:rPr>
          <w:rFonts w:ascii="Arial" w:hAnsi="Arial" w:cs="Arial"/>
        </w:rPr>
      </w:pPr>
      <w:r w:rsidRPr="00630322">
        <w:rPr>
          <w:rFonts w:ascii="Arial" w:hAnsi="Arial" w:cs="Arial"/>
        </w:rPr>
        <w:t xml:space="preserve">A “drinking water fixture” refers to every drinking water fountain and every tap that is used to provide drinking water or to prepare food and/or drink for children under 18. </w:t>
      </w:r>
    </w:p>
    <w:p w:rsidR="00C64D28" w:rsidRPr="00630322" w:rsidRDefault="00C64D28" w:rsidP="00C64D28">
      <w:pPr>
        <w:rPr>
          <w:rFonts w:ascii="Arial" w:hAnsi="Arial" w:cs="Arial"/>
          <w:b/>
          <w:bCs/>
        </w:rPr>
      </w:pPr>
    </w:p>
    <w:p w:rsidR="00F56589" w:rsidRDefault="00F56589">
      <w:pPr>
        <w:rPr>
          <w:rStyle w:val="Heading2Char"/>
        </w:rPr>
      </w:pPr>
      <w:r>
        <w:rPr>
          <w:rStyle w:val="Heading2Char"/>
        </w:rPr>
        <w:br w:type="page"/>
      </w:r>
    </w:p>
    <w:p w:rsidR="00C64D28" w:rsidRPr="00630322" w:rsidRDefault="00C64D28" w:rsidP="005B1E77">
      <w:pPr>
        <w:rPr>
          <w:rFonts w:ascii="Arial" w:hAnsi="Arial" w:cs="Arial"/>
          <w:b/>
          <w:bCs/>
        </w:rPr>
      </w:pPr>
      <w:r w:rsidRPr="00FF4BF7">
        <w:rPr>
          <w:rStyle w:val="Heading2Char"/>
        </w:rPr>
        <w:lastRenderedPageBreak/>
        <w:t>What do children need to know?</w:t>
      </w:r>
      <w:r w:rsidRPr="00630322">
        <w:rPr>
          <w:rFonts w:ascii="Arial" w:hAnsi="Arial" w:cs="Arial"/>
          <w:b/>
          <w:bCs/>
        </w:rPr>
        <w:br/>
      </w:r>
      <w:r w:rsidRPr="00630322">
        <w:rPr>
          <w:rFonts w:ascii="Arial" w:hAnsi="Arial" w:cs="Arial"/>
        </w:rPr>
        <w:t xml:space="preserve">Children need to know that all </w:t>
      </w:r>
      <w:r w:rsidR="0090304F">
        <w:rPr>
          <w:rFonts w:ascii="Arial" w:hAnsi="Arial" w:cs="Arial"/>
        </w:rPr>
        <w:t>child care centres and schools</w:t>
      </w:r>
      <w:r w:rsidRPr="00630322">
        <w:rPr>
          <w:rFonts w:ascii="Arial" w:hAnsi="Arial" w:cs="Arial"/>
        </w:rPr>
        <w:t xml:space="preserve"> in Ontario will be testing drinking water fixtures for lead to protect children’s health. Your </w:t>
      </w:r>
      <w:r w:rsidR="0090304F">
        <w:rPr>
          <w:rFonts w:ascii="Arial" w:hAnsi="Arial" w:cs="Arial"/>
        </w:rPr>
        <w:t xml:space="preserve">child care </w:t>
      </w:r>
      <w:proofErr w:type="spellStart"/>
      <w:r w:rsidR="0090304F">
        <w:rPr>
          <w:rFonts w:ascii="Arial" w:hAnsi="Arial" w:cs="Arial"/>
        </w:rPr>
        <w:t>centre</w:t>
      </w:r>
      <w:proofErr w:type="spellEnd"/>
      <w:r w:rsidR="0090304F">
        <w:rPr>
          <w:rFonts w:ascii="Arial" w:hAnsi="Arial" w:cs="Arial"/>
        </w:rPr>
        <w:t xml:space="preserve"> or </w:t>
      </w:r>
      <w:r w:rsidRPr="00630322">
        <w:rPr>
          <w:rFonts w:ascii="Arial" w:hAnsi="Arial" w:cs="Arial"/>
        </w:rPr>
        <w:t>school may choose to post signs to indicate whether a drinking water fixture has been tested for lead. For example, if children notice a sign that says “</w:t>
      </w:r>
      <w:proofErr w:type="spellStart"/>
      <w:r w:rsidRPr="00630322">
        <w:rPr>
          <w:rFonts w:ascii="Arial" w:hAnsi="Arial" w:cs="Arial"/>
        </w:rPr>
        <w:t>handwashing</w:t>
      </w:r>
      <w:proofErr w:type="spellEnd"/>
      <w:r w:rsidRPr="00630322">
        <w:rPr>
          <w:rFonts w:ascii="Arial" w:hAnsi="Arial" w:cs="Arial"/>
        </w:rPr>
        <w:t xml:space="preserve"> only” then they should not use that fixture for drinking water or to prepare food or drink. Some taps and fountains may also be temporarily bagged or marked as “do not use” as part of this testing. </w:t>
      </w:r>
    </w:p>
    <w:p w:rsidR="00C64D28" w:rsidRPr="00630322" w:rsidRDefault="00C64D28" w:rsidP="00FF4BF7">
      <w:pPr>
        <w:pStyle w:val="Heading2"/>
      </w:pPr>
      <w:r w:rsidRPr="00630322">
        <w:t>What about taps that do not provide drinking water, e.g., taps in bathrooms, custodian rooms, or that are outside for gardening? Will they be sampled too?</w:t>
      </w:r>
    </w:p>
    <w:p w:rsidR="00C64D28" w:rsidRPr="00630322" w:rsidRDefault="00C64D28" w:rsidP="00C64D28">
      <w:pPr>
        <w:rPr>
          <w:rFonts w:ascii="Arial" w:hAnsi="Arial" w:cs="Arial"/>
        </w:rPr>
      </w:pPr>
      <w:r w:rsidRPr="00630322">
        <w:rPr>
          <w:rFonts w:ascii="Arial" w:hAnsi="Arial" w:cs="Arial"/>
        </w:rPr>
        <w:t xml:space="preserve">These types of taps do not need to be sampled if children do not use them to obtain drinking water. It is up to your </w:t>
      </w:r>
      <w:r w:rsidR="0090304F">
        <w:rPr>
          <w:rFonts w:ascii="Arial" w:hAnsi="Arial" w:cs="Arial"/>
        </w:rPr>
        <w:t xml:space="preserve">child care </w:t>
      </w:r>
      <w:proofErr w:type="spellStart"/>
      <w:r w:rsidR="0090304F">
        <w:rPr>
          <w:rFonts w:ascii="Arial" w:hAnsi="Arial" w:cs="Arial"/>
        </w:rPr>
        <w:t>centre</w:t>
      </w:r>
      <w:proofErr w:type="spellEnd"/>
      <w:r w:rsidR="0090304F">
        <w:rPr>
          <w:rFonts w:ascii="Arial" w:hAnsi="Arial" w:cs="Arial"/>
        </w:rPr>
        <w:t xml:space="preserve"> or </w:t>
      </w:r>
      <w:r w:rsidRPr="00630322">
        <w:rPr>
          <w:rFonts w:ascii="Arial" w:hAnsi="Arial" w:cs="Arial"/>
        </w:rPr>
        <w:t>sc</w:t>
      </w:r>
      <w:r w:rsidR="0090304F">
        <w:rPr>
          <w:rFonts w:ascii="Arial" w:hAnsi="Arial" w:cs="Arial"/>
        </w:rPr>
        <w:t xml:space="preserve">hool </w:t>
      </w:r>
      <w:r w:rsidRPr="00630322">
        <w:rPr>
          <w:rFonts w:ascii="Arial" w:hAnsi="Arial" w:cs="Arial"/>
        </w:rPr>
        <w:t xml:space="preserve">to identify which taps are used for drinking water or to prepare food and/or drink for children under 18 and to have them tested for lead. </w:t>
      </w:r>
    </w:p>
    <w:p w:rsidR="00C64D28" w:rsidRPr="00630322" w:rsidRDefault="00C64D28" w:rsidP="00FF4BF7">
      <w:pPr>
        <w:pStyle w:val="Heading2"/>
      </w:pPr>
      <w:r w:rsidRPr="00630322">
        <w:t xml:space="preserve">Why do </w:t>
      </w:r>
      <w:r w:rsidRPr="0060112C">
        <w:t>all</w:t>
      </w:r>
      <w:r w:rsidRPr="00630322">
        <w:t xml:space="preserve"> drinking water fixtures need to be sampled?</w:t>
      </w:r>
    </w:p>
    <w:p w:rsidR="00C64D28" w:rsidRPr="00630322" w:rsidRDefault="00C64D28" w:rsidP="00C64D28">
      <w:pPr>
        <w:rPr>
          <w:rFonts w:ascii="Arial" w:eastAsia="Century Schoolbook" w:hAnsi="Arial" w:cs="Arial"/>
        </w:rPr>
      </w:pPr>
      <w:r w:rsidRPr="00630322">
        <w:rPr>
          <w:rFonts w:ascii="Arial" w:eastAsia="Century Schoolbook" w:hAnsi="Arial" w:cs="Arial"/>
        </w:rPr>
        <w:t>Studies</w:t>
      </w:r>
      <w:r w:rsidRPr="00630322">
        <w:rPr>
          <w:rStyle w:val="FootnoteReference"/>
          <w:rFonts w:ascii="Arial" w:eastAsia="Century Schoolbook" w:hAnsi="Arial" w:cs="Arial"/>
        </w:rPr>
        <w:footnoteReference w:id="1"/>
      </w:r>
      <w:r w:rsidRPr="00630322">
        <w:rPr>
          <w:rFonts w:ascii="Arial" w:eastAsia="Century Schoolbook" w:hAnsi="Arial" w:cs="Arial"/>
        </w:rPr>
        <w:t xml:space="preserve"> show that lead levels in drinking water from plumbing can vary substantially between individual taps or fountains. Only by testing each drinking water fixture can </w:t>
      </w:r>
      <w:r w:rsidR="0090304F">
        <w:rPr>
          <w:rFonts w:ascii="Arial" w:eastAsia="Century Schoolbook" w:hAnsi="Arial" w:cs="Arial"/>
        </w:rPr>
        <w:t>child care centres and schools</w:t>
      </w:r>
      <w:r w:rsidRPr="00630322">
        <w:rPr>
          <w:rFonts w:ascii="Arial" w:eastAsia="Century Schoolbook" w:hAnsi="Arial" w:cs="Arial"/>
        </w:rPr>
        <w:t xml:space="preserve"> be sure that they are not exposing children to lead through any of the plumbing within their facilities. </w:t>
      </w:r>
    </w:p>
    <w:p w:rsidR="00C64D28" w:rsidRPr="00630322" w:rsidRDefault="00C64D28" w:rsidP="00FF4BF7">
      <w:pPr>
        <w:pStyle w:val="Heading2"/>
      </w:pPr>
      <w:r w:rsidRPr="00630322">
        <w:t>When are samples collected?</w:t>
      </w:r>
    </w:p>
    <w:p w:rsidR="00C64D28" w:rsidRPr="00630322" w:rsidRDefault="00C64D28" w:rsidP="00C64D28">
      <w:pPr>
        <w:rPr>
          <w:rFonts w:ascii="Arial" w:hAnsi="Arial" w:cs="Arial"/>
        </w:rPr>
      </w:pPr>
      <w:r w:rsidRPr="00630322">
        <w:rPr>
          <w:rFonts w:ascii="Arial" w:hAnsi="Arial" w:cs="Arial"/>
        </w:rPr>
        <w:t>Sampling is done between May 1</w:t>
      </w:r>
      <w:r w:rsidRPr="00630322">
        <w:rPr>
          <w:rFonts w:ascii="Arial" w:hAnsi="Arial" w:cs="Arial"/>
          <w:vertAlign w:val="superscript"/>
        </w:rPr>
        <w:t>st</w:t>
      </w:r>
      <w:r w:rsidRPr="00630322">
        <w:rPr>
          <w:rFonts w:ascii="Arial" w:hAnsi="Arial" w:cs="Arial"/>
        </w:rPr>
        <w:t xml:space="preserve"> and October 31</w:t>
      </w:r>
      <w:r w:rsidRPr="00630322">
        <w:rPr>
          <w:rFonts w:ascii="Arial" w:hAnsi="Arial" w:cs="Arial"/>
          <w:vertAlign w:val="superscript"/>
        </w:rPr>
        <w:t>st</w:t>
      </w:r>
      <w:r w:rsidRPr="00630322">
        <w:rPr>
          <w:rFonts w:ascii="Arial" w:hAnsi="Arial" w:cs="Arial"/>
        </w:rPr>
        <w:t xml:space="preserve">.  Some exceptions to this may include when a new facility begins operation or when resampling is required by a local health unit. </w:t>
      </w:r>
    </w:p>
    <w:p w:rsidR="00C64D28" w:rsidRPr="00630322" w:rsidRDefault="00C64D28" w:rsidP="00FF4BF7">
      <w:pPr>
        <w:pStyle w:val="Heading2"/>
      </w:pPr>
      <w:r w:rsidRPr="0060112C">
        <w:t>Who will conduct the sampling?</w:t>
      </w:r>
    </w:p>
    <w:p w:rsidR="00C64D28" w:rsidRPr="00630322" w:rsidRDefault="00C64D28" w:rsidP="00C64D28">
      <w:pPr>
        <w:rPr>
          <w:rFonts w:ascii="Arial" w:hAnsi="Arial" w:cs="Arial"/>
        </w:rPr>
      </w:pPr>
      <w:r w:rsidRPr="00630322">
        <w:rPr>
          <w:rFonts w:ascii="Arial" w:hAnsi="Arial" w:cs="Arial"/>
        </w:rPr>
        <w:t xml:space="preserve">A designated person at your </w:t>
      </w:r>
      <w:r w:rsidR="0090304F">
        <w:rPr>
          <w:rFonts w:ascii="Arial" w:hAnsi="Arial" w:cs="Arial"/>
        </w:rPr>
        <w:t xml:space="preserve">child care </w:t>
      </w:r>
      <w:proofErr w:type="spellStart"/>
      <w:r w:rsidR="0090304F">
        <w:rPr>
          <w:rFonts w:ascii="Arial" w:hAnsi="Arial" w:cs="Arial"/>
        </w:rPr>
        <w:t>centre</w:t>
      </w:r>
      <w:proofErr w:type="spellEnd"/>
      <w:r w:rsidR="0090304F">
        <w:rPr>
          <w:rFonts w:ascii="Arial" w:hAnsi="Arial" w:cs="Arial"/>
        </w:rPr>
        <w:t xml:space="preserve"> or school</w:t>
      </w:r>
      <w:r w:rsidRPr="00630322">
        <w:rPr>
          <w:rFonts w:ascii="Arial" w:hAnsi="Arial" w:cs="Arial"/>
        </w:rPr>
        <w:t>, (e.g., custodial staff)</w:t>
      </w:r>
      <w:proofErr w:type="gramStart"/>
      <w:r w:rsidRPr="00630322">
        <w:rPr>
          <w:rFonts w:ascii="Arial" w:hAnsi="Arial" w:cs="Arial"/>
        </w:rPr>
        <w:t>,</w:t>
      </w:r>
      <w:proofErr w:type="gramEnd"/>
      <w:r w:rsidRPr="00630322">
        <w:rPr>
          <w:rFonts w:ascii="Arial" w:hAnsi="Arial" w:cs="Arial"/>
        </w:rPr>
        <w:t xml:space="preserve"> will conduct the sampling per the requirements of the regulation. For more information on how to sample, go to </w:t>
      </w:r>
      <w:hyperlink r:id="rId13" w:tooltip="Drinking Water at Ontario.ca" w:history="1">
        <w:r w:rsidRPr="00861ACE">
          <w:rPr>
            <w:rStyle w:val="Hyperlink"/>
            <w:rFonts w:ascii="Arial" w:hAnsi="Arial" w:cs="Arial"/>
          </w:rPr>
          <w:t>www.ontario.ca/drinkingwater</w:t>
        </w:r>
      </w:hyperlink>
      <w:r w:rsidRPr="00861ACE">
        <w:rPr>
          <w:rStyle w:val="Hyperlink"/>
          <w:rFonts w:ascii="Arial" w:hAnsi="Arial" w:cs="Arial"/>
        </w:rPr>
        <w:t>.</w:t>
      </w:r>
      <w:r w:rsidRPr="00630322">
        <w:rPr>
          <w:rStyle w:val="Hyperlink"/>
          <w:rFonts w:ascii="Arial" w:hAnsi="Arial" w:cs="Arial"/>
        </w:rPr>
        <w:t xml:space="preserve"> </w:t>
      </w:r>
    </w:p>
    <w:p w:rsidR="00C64D28" w:rsidRPr="00630322" w:rsidRDefault="00C64D28" w:rsidP="00FF4BF7">
      <w:pPr>
        <w:pStyle w:val="Heading2"/>
      </w:pPr>
      <w:r w:rsidRPr="00630322">
        <w:t>Why does the Ontario government require child care centres</w:t>
      </w:r>
      <w:r w:rsidR="007D59B4">
        <w:t xml:space="preserve"> and schools</w:t>
      </w:r>
      <w:r w:rsidRPr="00630322">
        <w:t xml:space="preserve"> to test drinking water for lead? </w:t>
      </w:r>
    </w:p>
    <w:p w:rsidR="00C64D28" w:rsidRPr="00630322" w:rsidRDefault="00C64D28" w:rsidP="00C64D28">
      <w:pPr>
        <w:rPr>
          <w:rFonts w:ascii="Arial" w:hAnsi="Arial" w:cs="Arial"/>
        </w:rPr>
      </w:pPr>
      <w:r w:rsidRPr="00630322">
        <w:rPr>
          <w:rFonts w:ascii="Arial" w:hAnsi="Arial" w:cs="Arial"/>
        </w:rPr>
        <w:t xml:space="preserve">Young children are more vulnerable to the effects of lead because they absorb ingested lead more easily than adults, which can interfere with the development of their nervous systems. In population studies, exposure to lead has been associated with effects on learning capacity, intellectual development and behavior. </w:t>
      </w:r>
    </w:p>
    <w:p w:rsidR="00C64D28" w:rsidRPr="00630322" w:rsidRDefault="00C64D28" w:rsidP="00C64D28">
      <w:pPr>
        <w:rPr>
          <w:rFonts w:ascii="Arial" w:hAnsi="Arial" w:cs="Arial"/>
        </w:rPr>
      </w:pPr>
    </w:p>
    <w:p w:rsidR="00C64D28" w:rsidRPr="00630322" w:rsidRDefault="00C64D28" w:rsidP="00FF4BF7">
      <w:pPr>
        <w:pStyle w:val="Heading2"/>
      </w:pPr>
      <w:r w:rsidRPr="00630322">
        <w:lastRenderedPageBreak/>
        <w:t>For more information:</w:t>
      </w:r>
    </w:p>
    <w:p w:rsidR="00C64D28" w:rsidRPr="00630322" w:rsidRDefault="00C64D28" w:rsidP="00C64D28">
      <w:pPr>
        <w:pStyle w:val="ListParagraph"/>
        <w:numPr>
          <w:ilvl w:val="0"/>
          <w:numId w:val="1"/>
        </w:numPr>
        <w:spacing w:after="0"/>
        <w:ind w:left="360"/>
        <w:rPr>
          <w:rFonts w:ascii="Arial" w:hAnsi="Arial" w:cs="Arial"/>
        </w:rPr>
      </w:pPr>
      <w:r w:rsidRPr="00630322">
        <w:rPr>
          <w:rFonts w:ascii="Arial" w:hAnsi="Arial" w:cs="Arial"/>
        </w:rPr>
        <w:t xml:space="preserve">Health Canada – Lead and Human Health: </w:t>
      </w:r>
      <w:hyperlink r:id="rId14" w:history="1">
        <w:r w:rsidRPr="00630322">
          <w:rPr>
            <w:rStyle w:val="Hyperlink"/>
            <w:rFonts w:ascii="Arial" w:hAnsi="Arial" w:cs="Arial"/>
          </w:rPr>
          <w:t xml:space="preserve">www.hc-sc.gc.ca/ewh-semt/contaminants/lead-plomb/asked_questions-questions_posees_e.html. </w:t>
        </w:r>
      </w:hyperlink>
    </w:p>
    <w:p w:rsidR="00C64D28" w:rsidRPr="00630322" w:rsidRDefault="00C64D28" w:rsidP="00C64D28">
      <w:pPr>
        <w:rPr>
          <w:rFonts w:ascii="Arial" w:hAnsi="Arial" w:cs="Arial"/>
        </w:rPr>
      </w:pPr>
    </w:p>
    <w:p w:rsidR="00C64D28" w:rsidRPr="00630322" w:rsidRDefault="00C64D28" w:rsidP="00C64D28">
      <w:pPr>
        <w:pStyle w:val="ListParagraph"/>
        <w:numPr>
          <w:ilvl w:val="0"/>
          <w:numId w:val="1"/>
        </w:numPr>
        <w:spacing w:after="0"/>
        <w:ind w:left="360"/>
        <w:rPr>
          <w:rFonts w:ascii="Arial" w:hAnsi="Arial" w:cs="Arial"/>
        </w:rPr>
      </w:pPr>
      <w:r w:rsidRPr="00630322">
        <w:rPr>
          <w:rFonts w:ascii="Arial" w:hAnsi="Arial" w:cs="Arial"/>
        </w:rPr>
        <w:t xml:space="preserve">Ontario Ministry of the Environment and Climate Change – Drinking Water Information: </w:t>
      </w:r>
      <w:hyperlink r:id="rId15" w:tooltip="Drinking Water at Ontario.ca" w:history="1">
        <w:r w:rsidRPr="00630322">
          <w:rPr>
            <w:rStyle w:val="Hyperlink"/>
            <w:rFonts w:ascii="Arial" w:hAnsi="Arial" w:cs="Arial"/>
          </w:rPr>
          <w:t>www.ontario.ca/drinkingwater</w:t>
        </w:r>
      </w:hyperlink>
      <w:r w:rsidRPr="00C64D28">
        <w:rPr>
          <w:rStyle w:val="Hyperlink"/>
          <w:rFonts w:ascii="Arial" w:hAnsi="Arial" w:cs="Arial"/>
          <w:sz w:val="22"/>
          <w:szCs w:val="22"/>
          <w:lang w:val="en-US"/>
        </w:rPr>
        <w:t>.</w:t>
      </w:r>
      <w:r w:rsidRPr="00630322">
        <w:rPr>
          <w:rFonts w:ascii="Arial" w:hAnsi="Arial" w:cs="Arial"/>
        </w:rPr>
        <w:t xml:space="preserve"> </w:t>
      </w:r>
    </w:p>
    <w:p w:rsidR="00C64D28" w:rsidRPr="0060112C" w:rsidRDefault="00C64D28" w:rsidP="00C64D28">
      <w:pPr>
        <w:pStyle w:val="ListParagraph"/>
        <w:rPr>
          <w:rFonts w:ascii="Arial" w:hAnsi="Arial" w:cs="Arial"/>
        </w:rPr>
      </w:pPr>
    </w:p>
    <w:p w:rsidR="00C64D28" w:rsidRPr="00630322" w:rsidRDefault="00C64D28" w:rsidP="00C64D28">
      <w:pPr>
        <w:pStyle w:val="ListParagraph"/>
        <w:numPr>
          <w:ilvl w:val="0"/>
          <w:numId w:val="1"/>
        </w:numPr>
        <w:spacing w:after="0"/>
        <w:ind w:left="360"/>
        <w:rPr>
          <w:rFonts w:ascii="Arial" w:hAnsi="Arial" w:cs="Arial"/>
        </w:rPr>
      </w:pPr>
      <w:r w:rsidRPr="00630322">
        <w:rPr>
          <w:rFonts w:ascii="Arial" w:hAnsi="Arial" w:cs="Arial"/>
        </w:rPr>
        <w:t>Ontario Ministry of the Environment and Climate Change Public Information Centre: 1-800-565-4923.</w:t>
      </w:r>
    </w:p>
    <w:p w:rsidR="0081735D" w:rsidRPr="00C64D28" w:rsidRDefault="0081735D" w:rsidP="0081735D">
      <w:pPr>
        <w:rPr>
          <w:lang w:val="en-CA"/>
        </w:rPr>
      </w:pPr>
    </w:p>
    <w:sectPr w:rsidR="0081735D" w:rsidRPr="00C64D28" w:rsidSect="0032160E">
      <w:headerReference w:type="default" r:id="rId16"/>
      <w:footerReference w:type="default" r:id="rId17"/>
      <w:headerReference w:type="first" r:id="rId18"/>
      <w:footerReference w:type="first" r:id="rId19"/>
      <w:pgSz w:w="12240" w:h="15840"/>
      <w:pgMar w:top="1440" w:right="1800" w:bottom="1440" w:left="180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B24" w:rsidRDefault="00FF5B24">
      <w:r>
        <w:separator/>
      </w:r>
    </w:p>
  </w:endnote>
  <w:endnote w:type="continuationSeparator" w:id="0">
    <w:p w:rsidR="00FF5B24" w:rsidRDefault="00FF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721478"/>
      <w:docPartObj>
        <w:docPartGallery w:val="Page Numbers (Bottom of Page)"/>
        <w:docPartUnique/>
      </w:docPartObj>
    </w:sdtPr>
    <w:sdtEndPr>
      <w:rPr>
        <w:noProof/>
      </w:rPr>
    </w:sdtEndPr>
    <w:sdtContent>
      <w:p w:rsidR="00ED4A9E" w:rsidRDefault="00ED4A9E">
        <w:pPr>
          <w:pStyle w:val="Footer"/>
          <w:jc w:val="right"/>
        </w:pPr>
        <w:r>
          <w:fldChar w:fldCharType="begin"/>
        </w:r>
        <w:r>
          <w:instrText xml:space="preserve"> PAGE   \* MERGEFORMAT </w:instrText>
        </w:r>
        <w:r>
          <w:fldChar w:fldCharType="separate"/>
        </w:r>
        <w:r w:rsidR="00B87886">
          <w:rPr>
            <w:noProof/>
          </w:rPr>
          <w:t>3</w:t>
        </w:r>
        <w:r>
          <w:rPr>
            <w:noProof/>
          </w:rPr>
          <w:fldChar w:fldCharType="end"/>
        </w:r>
      </w:p>
    </w:sdtContent>
  </w:sdt>
  <w:p w:rsidR="0081735D" w:rsidRDefault="0081735D" w:rsidP="0081735D">
    <w:pPr>
      <w:pStyle w:val="Footer"/>
      <w:tabs>
        <w:tab w:val="clear" w:pos="8640"/>
        <w:tab w:val="right" w:pos="10440"/>
      </w:tabs>
      <w:ind w:left="-18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5D" w:rsidRDefault="00D5650A" w:rsidP="0032160E">
    <w:pPr>
      <w:pStyle w:val="Footer"/>
      <w:ind w:left="-1620"/>
    </w:pPr>
    <w:r>
      <w:rPr>
        <w:noProof/>
        <w:lang w:val="en-CA" w:eastAsia="en-CA"/>
      </w:rPr>
      <w:drawing>
        <wp:inline distT="0" distB="0" distL="0" distR="0" wp14:anchorId="030D3A3C" wp14:editId="2D7FC898">
          <wp:extent cx="7580630" cy="930275"/>
          <wp:effectExtent l="0" t="0" r="1270" b="3175"/>
          <wp:docPr id="4" name="Picture 4" descr="Arc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c_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630" cy="9302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B24" w:rsidRDefault="00FF5B24">
      <w:r>
        <w:separator/>
      </w:r>
    </w:p>
  </w:footnote>
  <w:footnote w:type="continuationSeparator" w:id="0">
    <w:p w:rsidR="00FF5B24" w:rsidRDefault="00FF5B24">
      <w:r>
        <w:continuationSeparator/>
      </w:r>
    </w:p>
  </w:footnote>
  <w:footnote w:id="1">
    <w:p w:rsidR="00C64D28" w:rsidRPr="0060112C" w:rsidRDefault="00C64D28" w:rsidP="00C64D28">
      <w:pPr>
        <w:pStyle w:val="FootnoteText"/>
        <w:rPr>
          <w:rFonts w:ascii="Arial" w:hAnsi="Arial" w:cs="Arial"/>
          <w:lang w:val="en-CA"/>
        </w:rPr>
      </w:pPr>
      <w:r>
        <w:rPr>
          <w:rStyle w:val="FootnoteReference"/>
          <w:rFonts w:ascii="Arial" w:hAnsi="Arial" w:cs="Arial"/>
        </w:rPr>
        <w:t>1</w:t>
      </w:r>
      <w:r w:rsidRPr="0060112C">
        <w:rPr>
          <w:rFonts w:ascii="Arial" w:hAnsi="Arial" w:cs="Arial"/>
        </w:rPr>
        <w:t xml:space="preserve"> </w:t>
      </w:r>
      <w:r w:rsidRPr="0060112C">
        <w:rPr>
          <w:rFonts w:ascii="Arial" w:hAnsi="Arial" w:cs="Arial"/>
          <w:lang w:val="en-CA"/>
        </w:rPr>
        <w:t xml:space="preserve">World Health Organization: Lead Poisoning and Blood. </w:t>
      </w:r>
      <w:hyperlink r:id="rId1" w:tooltip="World Health Organization: Lead Poisoning and Blood" w:history="1">
        <w:r w:rsidRPr="0060112C">
          <w:rPr>
            <w:rStyle w:val="Hyperlink"/>
            <w:rFonts w:ascii="Arial" w:hAnsi="Arial" w:cs="Arial"/>
            <w:lang w:val="en-CA"/>
          </w:rPr>
          <w:t>http://www.who.int/mediacentre/factsheets/fs379/en/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35D" w:rsidRDefault="0081735D" w:rsidP="0081735D">
    <w:pPr>
      <w:pStyle w:val="Header"/>
      <w:tabs>
        <w:tab w:val="clear" w:pos="4320"/>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A9E" w:rsidRDefault="00ED4A9E">
    <w:pPr>
      <w:pStyle w:val="Header"/>
      <w:jc w:val="right"/>
    </w:pPr>
  </w:p>
  <w:p w:rsidR="00ED4A9E" w:rsidRDefault="00ED4A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5553"/>
    <w:multiLevelType w:val="hybridMultilevel"/>
    <w:tmpl w:val="01603E6E"/>
    <w:lvl w:ilvl="0" w:tplc="10090001">
      <w:start w:val="1"/>
      <w:numFmt w:val="bullet"/>
      <w:lvlText w:val=""/>
      <w:lvlJc w:val="left"/>
      <w:pPr>
        <w:ind w:left="787" w:hanging="360"/>
      </w:pPr>
      <w:rPr>
        <w:rFonts w:ascii="Symbol" w:hAnsi="Symbol" w:hint="default"/>
      </w:rPr>
    </w:lvl>
    <w:lvl w:ilvl="1" w:tplc="10090003" w:tentative="1">
      <w:start w:val="1"/>
      <w:numFmt w:val="bullet"/>
      <w:lvlText w:val="o"/>
      <w:lvlJc w:val="left"/>
      <w:pPr>
        <w:ind w:left="1507" w:hanging="360"/>
      </w:pPr>
      <w:rPr>
        <w:rFonts w:ascii="Courier New" w:hAnsi="Courier New" w:cs="Courier New" w:hint="default"/>
      </w:rPr>
    </w:lvl>
    <w:lvl w:ilvl="2" w:tplc="10090005" w:tentative="1">
      <w:start w:val="1"/>
      <w:numFmt w:val="bullet"/>
      <w:lvlText w:val=""/>
      <w:lvlJc w:val="left"/>
      <w:pPr>
        <w:ind w:left="2227" w:hanging="360"/>
      </w:pPr>
      <w:rPr>
        <w:rFonts w:ascii="Wingdings" w:hAnsi="Wingdings" w:hint="default"/>
      </w:rPr>
    </w:lvl>
    <w:lvl w:ilvl="3" w:tplc="10090001" w:tentative="1">
      <w:start w:val="1"/>
      <w:numFmt w:val="bullet"/>
      <w:lvlText w:val=""/>
      <w:lvlJc w:val="left"/>
      <w:pPr>
        <w:ind w:left="2947" w:hanging="360"/>
      </w:pPr>
      <w:rPr>
        <w:rFonts w:ascii="Symbol" w:hAnsi="Symbol" w:hint="default"/>
      </w:rPr>
    </w:lvl>
    <w:lvl w:ilvl="4" w:tplc="10090003" w:tentative="1">
      <w:start w:val="1"/>
      <w:numFmt w:val="bullet"/>
      <w:lvlText w:val="o"/>
      <w:lvlJc w:val="left"/>
      <w:pPr>
        <w:ind w:left="3667" w:hanging="360"/>
      </w:pPr>
      <w:rPr>
        <w:rFonts w:ascii="Courier New" w:hAnsi="Courier New" w:cs="Courier New" w:hint="default"/>
      </w:rPr>
    </w:lvl>
    <w:lvl w:ilvl="5" w:tplc="10090005" w:tentative="1">
      <w:start w:val="1"/>
      <w:numFmt w:val="bullet"/>
      <w:lvlText w:val=""/>
      <w:lvlJc w:val="left"/>
      <w:pPr>
        <w:ind w:left="4387" w:hanging="360"/>
      </w:pPr>
      <w:rPr>
        <w:rFonts w:ascii="Wingdings" w:hAnsi="Wingdings" w:hint="default"/>
      </w:rPr>
    </w:lvl>
    <w:lvl w:ilvl="6" w:tplc="10090001" w:tentative="1">
      <w:start w:val="1"/>
      <w:numFmt w:val="bullet"/>
      <w:lvlText w:val=""/>
      <w:lvlJc w:val="left"/>
      <w:pPr>
        <w:ind w:left="5107" w:hanging="360"/>
      </w:pPr>
      <w:rPr>
        <w:rFonts w:ascii="Symbol" w:hAnsi="Symbol" w:hint="default"/>
      </w:rPr>
    </w:lvl>
    <w:lvl w:ilvl="7" w:tplc="10090003" w:tentative="1">
      <w:start w:val="1"/>
      <w:numFmt w:val="bullet"/>
      <w:lvlText w:val="o"/>
      <w:lvlJc w:val="left"/>
      <w:pPr>
        <w:ind w:left="5827" w:hanging="360"/>
      </w:pPr>
      <w:rPr>
        <w:rFonts w:ascii="Courier New" w:hAnsi="Courier New" w:cs="Courier New" w:hint="default"/>
      </w:rPr>
    </w:lvl>
    <w:lvl w:ilvl="8" w:tplc="1009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369"/>
    <w:rsid w:val="001C43E1"/>
    <w:rsid w:val="001F2BB6"/>
    <w:rsid w:val="0032160E"/>
    <w:rsid w:val="003645E4"/>
    <w:rsid w:val="003D2208"/>
    <w:rsid w:val="00406374"/>
    <w:rsid w:val="0040676F"/>
    <w:rsid w:val="004402ED"/>
    <w:rsid w:val="00440D9C"/>
    <w:rsid w:val="004E0C1D"/>
    <w:rsid w:val="00524369"/>
    <w:rsid w:val="005B1E77"/>
    <w:rsid w:val="00757E04"/>
    <w:rsid w:val="007A31A4"/>
    <w:rsid w:val="007B4CA4"/>
    <w:rsid w:val="007D59B4"/>
    <w:rsid w:val="0081735D"/>
    <w:rsid w:val="0090304F"/>
    <w:rsid w:val="00927F9F"/>
    <w:rsid w:val="00B33877"/>
    <w:rsid w:val="00B41F2F"/>
    <w:rsid w:val="00B87886"/>
    <w:rsid w:val="00BB0BF5"/>
    <w:rsid w:val="00C64D28"/>
    <w:rsid w:val="00D5650A"/>
    <w:rsid w:val="00ED4A9E"/>
    <w:rsid w:val="00F56589"/>
    <w:rsid w:val="00FF4BF7"/>
    <w:rsid w:val="00FF5B24"/>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E47C9"/>
    <w:rPr>
      <w:sz w:val="24"/>
      <w:szCs w:val="24"/>
      <w:lang w:val="en-US" w:eastAsia="en-US"/>
    </w:rPr>
  </w:style>
  <w:style w:type="paragraph" w:styleId="Heading1">
    <w:name w:val="heading 1"/>
    <w:basedOn w:val="Normal"/>
    <w:next w:val="Normal"/>
    <w:link w:val="Heading1Char"/>
    <w:qFormat/>
    <w:rsid w:val="00FF4BF7"/>
    <w:pPr>
      <w:keepNext/>
      <w:spacing w:before="240" w:after="60"/>
      <w:outlineLvl w:val="0"/>
    </w:pPr>
    <w:rPr>
      <w:rFonts w:ascii="Arial" w:eastAsiaTheme="majorEastAsia" w:hAnsi="Arial" w:cstheme="majorBidi"/>
      <w:b/>
      <w:bCs/>
      <w:kern w:val="32"/>
      <w:sz w:val="44"/>
      <w:szCs w:val="44"/>
    </w:rPr>
  </w:style>
  <w:style w:type="paragraph" w:styleId="Heading2">
    <w:name w:val="heading 2"/>
    <w:basedOn w:val="Normal"/>
    <w:next w:val="Normal"/>
    <w:link w:val="Heading2Char"/>
    <w:unhideWhenUsed/>
    <w:qFormat/>
    <w:rsid w:val="00FF4BF7"/>
    <w:pPr>
      <w:keepNext/>
      <w:spacing w:before="240" w:after="60"/>
      <w:outlineLvl w:val="1"/>
    </w:pPr>
    <w:rPr>
      <w:rFonts w:ascii="Arial" w:eastAsiaTheme="majorEastAsia" w:hAnsi="Arial" w:cstheme="majorBidi"/>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4369"/>
    <w:pPr>
      <w:tabs>
        <w:tab w:val="center" w:pos="4320"/>
        <w:tab w:val="right" w:pos="8640"/>
      </w:tabs>
    </w:pPr>
  </w:style>
  <w:style w:type="paragraph" w:styleId="Footer">
    <w:name w:val="footer"/>
    <w:basedOn w:val="Normal"/>
    <w:link w:val="FooterChar"/>
    <w:uiPriority w:val="99"/>
    <w:rsid w:val="00524369"/>
    <w:pPr>
      <w:tabs>
        <w:tab w:val="center" w:pos="4320"/>
        <w:tab w:val="right" w:pos="8640"/>
      </w:tabs>
    </w:pPr>
  </w:style>
  <w:style w:type="paragraph" w:customStyle="1" w:styleId="BasicParagraph">
    <w:name w:val="[Basic Paragraph]"/>
    <w:basedOn w:val="Normal"/>
    <w:uiPriority w:val="99"/>
    <w:rsid w:val="00081408"/>
    <w:pPr>
      <w:widowControl w:val="0"/>
      <w:autoSpaceDE w:val="0"/>
      <w:autoSpaceDN w:val="0"/>
      <w:adjustRightInd w:val="0"/>
      <w:spacing w:line="288" w:lineRule="auto"/>
      <w:textAlignment w:val="center"/>
    </w:pPr>
    <w:rPr>
      <w:rFonts w:ascii="Times-Roman" w:hAnsi="Times-Roman" w:cs="Times-Roman"/>
      <w:color w:val="000000"/>
    </w:rPr>
  </w:style>
  <w:style w:type="paragraph" w:styleId="Title">
    <w:name w:val="Title"/>
    <w:basedOn w:val="Normal"/>
    <w:next w:val="Normal"/>
    <w:link w:val="TitleChar"/>
    <w:qFormat/>
    <w:rsid w:val="00C64D2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64D28"/>
    <w:rPr>
      <w:rFonts w:asciiTheme="majorHAnsi" w:eastAsiaTheme="majorEastAsia" w:hAnsiTheme="majorHAnsi" w:cstheme="majorBidi"/>
      <w:b/>
      <w:bCs/>
      <w:kern w:val="28"/>
      <w:sz w:val="32"/>
      <w:szCs w:val="32"/>
      <w:lang w:val="en-US" w:eastAsia="en-US"/>
    </w:rPr>
  </w:style>
  <w:style w:type="character" w:customStyle="1" w:styleId="Heading1Char">
    <w:name w:val="Heading 1 Char"/>
    <w:basedOn w:val="DefaultParagraphFont"/>
    <w:link w:val="Heading1"/>
    <w:rsid w:val="00FF4BF7"/>
    <w:rPr>
      <w:rFonts w:ascii="Arial" w:eastAsiaTheme="majorEastAsia" w:hAnsi="Arial" w:cstheme="majorBidi"/>
      <w:b/>
      <w:bCs/>
      <w:kern w:val="32"/>
      <w:sz w:val="44"/>
      <w:szCs w:val="44"/>
      <w:lang w:val="en-US" w:eastAsia="en-US"/>
    </w:rPr>
  </w:style>
  <w:style w:type="character" w:styleId="Hyperlink">
    <w:name w:val="Hyperlink"/>
    <w:uiPriority w:val="99"/>
    <w:unhideWhenUsed/>
    <w:rsid w:val="00C64D28"/>
    <w:rPr>
      <w:color w:val="0000FF"/>
      <w:u w:val="single"/>
    </w:rPr>
  </w:style>
  <w:style w:type="paragraph" w:styleId="ListParagraph">
    <w:name w:val="List Paragraph"/>
    <w:basedOn w:val="Normal"/>
    <w:uiPriority w:val="34"/>
    <w:qFormat/>
    <w:rsid w:val="00C64D28"/>
    <w:pPr>
      <w:spacing w:after="200" w:line="276" w:lineRule="auto"/>
      <w:ind w:left="720"/>
      <w:contextualSpacing/>
    </w:pPr>
    <w:rPr>
      <w:rFonts w:ascii="Calibri" w:eastAsia="Calibri" w:hAnsi="Calibri" w:cs="Calibri"/>
      <w:lang w:val="en-CA"/>
    </w:rPr>
  </w:style>
  <w:style w:type="paragraph" w:styleId="FootnoteText">
    <w:name w:val="footnote text"/>
    <w:basedOn w:val="Normal"/>
    <w:link w:val="FootnoteTextChar"/>
    <w:uiPriority w:val="99"/>
    <w:unhideWhenUsed/>
    <w:rsid w:val="00C64D28"/>
    <w:pPr>
      <w:widowControl w:val="0"/>
    </w:pPr>
    <w:rPr>
      <w:rFonts w:ascii="Calibri" w:eastAsia="Calibri" w:hAnsi="Calibri"/>
      <w:sz w:val="20"/>
      <w:szCs w:val="20"/>
    </w:rPr>
  </w:style>
  <w:style w:type="character" w:customStyle="1" w:styleId="FootnoteTextChar">
    <w:name w:val="Footnote Text Char"/>
    <w:basedOn w:val="DefaultParagraphFont"/>
    <w:link w:val="FootnoteText"/>
    <w:uiPriority w:val="99"/>
    <w:rsid w:val="00C64D28"/>
    <w:rPr>
      <w:rFonts w:ascii="Calibri" w:eastAsia="Calibri" w:hAnsi="Calibri"/>
      <w:lang w:val="en-US" w:eastAsia="en-US"/>
    </w:rPr>
  </w:style>
  <w:style w:type="character" w:styleId="FootnoteReference">
    <w:name w:val="footnote reference"/>
    <w:uiPriority w:val="99"/>
    <w:unhideWhenUsed/>
    <w:rsid w:val="00C64D28"/>
    <w:rPr>
      <w:vertAlign w:val="superscript"/>
    </w:rPr>
  </w:style>
  <w:style w:type="paragraph" w:customStyle="1" w:styleId="Headin2">
    <w:name w:val="Headin 2"/>
    <w:basedOn w:val="Heading1"/>
    <w:link w:val="Headin2Char"/>
    <w:rsid w:val="00FF4BF7"/>
    <w:rPr>
      <w:sz w:val="32"/>
      <w:szCs w:val="32"/>
    </w:rPr>
  </w:style>
  <w:style w:type="character" w:customStyle="1" w:styleId="Heading2Char">
    <w:name w:val="Heading 2 Char"/>
    <w:basedOn w:val="DefaultParagraphFont"/>
    <w:link w:val="Heading2"/>
    <w:rsid w:val="00FF4BF7"/>
    <w:rPr>
      <w:rFonts w:ascii="Arial" w:eastAsiaTheme="majorEastAsia" w:hAnsi="Arial" w:cstheme="majorBidi"/>
      <w:b/>
      <w:bCs/>
      <w:iCs/>
      <w:sz w:val="28"/>
      <w:szCs w:val="28"/>
      <w:lang w:val="en-US" w:eastAsia="en-US"/>
    </w:rPr>
  </w:style>
  <w:style w:type="character" w:customStyle="1" w:styleId="Headin2Char">
    <w:name w:val="Headin 2 Char"/>
    <w:basedOn w:val="Heading1Char"/>
    <w:link w:val="Headin2"/>
    <w:rsid w:val="00FF4BF7"/>
    <w:rPr>
      <w:rFonts w:ascii="Arial" w:eastAsiaTheme="majorEastAsia" w:hAnsi="Arial" w:cstheme="majorBidi"/>
      <w:b/>
      <w:bCs/>
      <w:kern w:val="32"/>
      <w:sz w:val="32"/>
      <w:szCs w:val="32"/>
      <w:lang w:val="en-US" w:eastAsia="en-US"/>
    </w:rPr>
  </w:style>
  <w:style w:type="character" w:customStyle="1" w:styleId="FooterChar">
    <w:name w:val="Footer Char"/>
    <w:basedOn w:val="DefaultParagraphFont"/>
    <w:link w:val="Footer"/>
    <w:uiPriority w:val="99"/>
    <w:rsid w:val="00ED4A9E"/>
    <w:rPr>
      <w:sz w:val="24"/>
      <w:szCs w:val="24"/>
      <w:lang w:val="en-US" w:eastAsia="en-US"/>
    </w:rPr>
  </w:style>
  <w:style w:type="character" w:customStyle="1" w:styleId="HeaderChar">
    <w:name w:val="Header Char"/>
    <w:basedOn w:val="DefaultParagraphFont"/>
    <w:link w:val="Header"/>
    <w:uiPriority w:val="99"/>
    <w:rsid w:val="00ED4A9E"/>
    <w:rPr>
      <w:sz w:val="24"/>
      <w:szCs w:val="24"/>
      <w:lang w:val="en-US" w:eastAsia="en-US"/>
    </w:rPr>
  </w:style>
  <w:style w:type="paragraph" w:styleId="BalloonText">
    <w:name w:val="Balloon Text"/>
    <w:basedOn w:val="Normal"/>
    <w:link w:val="BalloonTextChar"/>
    <w:rsid w:val="007B4CA4"/>
    <w:rPr>
      <w:rFonts w:ascii="Tahoma" w:hAnsi="Tahoma" w:cs="Tahoma"/>
      <w:sz w:val="16"/>
      <w:szCs w:val="16"/>
    </w:rPr>
  </w:style>
  <w:style w:type="character" w:customStyle="1" w:styleId="BalloonTextChar">
    <w:name w:val="Balloon Text Char"/>
    <w:basedOn w:val="DefaultParagraphFont"/>
    <w:link w:val="BalloonText"/>
    <w:rsid w:val="007B4CA4"/>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E47C9"/>
    <w:rPr>
      <w:sz w:val="24"/>
      <w:szCs w:val="24"/>
      <w:lang w:val="en-US" w:eastAsia="en-US"/>
    </w:rPr>
  </w:style>
  <w:style w:type="paragraph" w:styleId="Heading1">
    <w:name w:val="heading 1"/>
    <w:basedOn w:val="Normal"/>
    <w:next w:val="Normal"/>
    <w:link w:val="Heading1Char"/>
    <w:qFormat/>
    <w:rsid w:val="00FF4BF7"/>
    <w:pPr>
      <w:keepNext/>
      <w:spacing w:before="240" w:after="60"/>
      <w:outlineLvl w:val="0"/>
    </w:pPr>
    <w:rPr>
      <w:rFonts w:ascii="Arial" w:eastAsiaTheme="majorEastAsia" w:hAnsi="Arial" w:cstheme="majorBidi"/>
      <w:b/>
      <w:bCs/>
      <w:kern w:val="32"/>
      <w:sz w:val="44"/>
      <w:szCs w:val="44"/>
    </w:rPr>
  </w:style>
  <w:style w:type="paragraph" w:styleId="Heading2">
    <w:name w:val="heading 2"/>
    <w:basedOn w:val="Normal"/>
    <w:next w:val="Normal"/>
    <w:link w:val="Heading2Char"/>
    <w:unhideWhenUsed/>
    <w:qFormat/>
    <w:rsid w:val="00FF4BF7"/>
    <w:pPr>
      <w:keepNext/>
      <w:spacing w:before="240" w:after="60"/>
      <w:outlineLvl w:val="1"/>
    </w:pPr>
    <w:rPr>
      <w:rFonts w:ascii="Arial" w:eastAsiaTheme="majorEastAsia" w:hAnsi="Arial" w:cstheme="majorBidi"/>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4369"/>
    <w:pPr>
      <w:tabs>
        <w:tab w:val="center" w:pos="4320"/>
        <w:tab w:val="right" w:pos="8640"/>
      </w:tabs>
    </w:pPr>
  </w:style>
  <w:style w:type="paragraph" w:styleId="Footer">
    <w:name w:val="footer"/>
    <w:basedOn w:val="Normal"/>
    <w:link w:val="FooterChar"/>
    <w:uiPriority w:val="99"/>
    <w:rsid w:val="00524369"/>
    <w:pPr>
      <w:tabs>
        <w:tab w:val="center" w:pos="4320"/>
        <w:tab w:val="right" w:pos="8640"/>
      </w:tabs>
    </w:pPr>
  </w:style>
  <w:style w:type="paragraph" w:customStyle="1" w:styleId="BasicParagraph">
    <w:name w:val="[Basic Paragraph]"/>
    <w:basedOn w:val="Normal"/>
    <w:uiPriority w:val="99"/>
    <w:rsid w:val="00081408"/>
    <w:pPr>
      <w:widowControl w:val="0"/>
      <w:autoSpaceDE w:val="0"/>
      <w:autoSpaceDN w:val="0"/>
      <w:adjustRightInd w:val="0"/>
      <w:spacing w:line="288" w:lineRule="auto"/>
      <w:textAlignment w:val="center"/>
    </w:pPr>
    <w:rPr>
      <w:rFonts w:ascii="Times-Roman" w:hAnsi="Times-Roman" w:cs="Times-Roman"/>
      <w:color w:val="000000"/>
    </w:rPr>
  </w:style>
  <w:style w:type="paragraph" w:styleId="Title">
    <w:name w:val="Title"/>
    <w:basedOn w:val="Normal"/>
    <w:next w:val="Normal"/>
    <w:link w:val="TitleChar"/>
    <w:qFormat/>
    <w:rsid w:val="00C64D2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64D28"/>
    <w:rPr>
      <w:rFonts w:asciiTheme="majorHAnsi" w:eastAsiaTheme="majorEastAsia" w:hAnsiTheme="majorHAnsi" w:cstheme="majorBidi"/>
      <w:b/>
      <w:bCs/>
      <w:kern w:val="28"/>
      <w:sz w:val="32"/>
      <w:szCs w:val="32"/>
      <w:lang w:val="en-US" w:eastAsia="en-US"/>
    </w:rPr>
  </w:style>
  <w:style w:type="character" w:customStyle="1" w:styleId="Heading1Char">
    <w:name w:val="Heading 1 Char"/>
    <w:basedOn w:val="DefaultParagraphFont"/>
    <w:link w:val="Heading1"/>
    <w:rsid w:val="00FF4BF7"/>
    <w:rPr>
      <w:rFonts w:ascii="Arial" w:eastAsiaTheme="majorEastAsia" w:hAnsi="Arial" w:cstheme="majorBidi"/>
      <w:b/>
      <w:bCs/>
      <w:kern w:val="32"/>
      <w:sz w:val="44"/>
      <w:szCs w:val="44"/>
      <w:lang w:val="en-US" w:eastAsia="en-US"/>
    </w:rPr>
  </w:style>
  <w:style w:type="character" w:styleId="Hyperlink">
    <w:name w:val="Hyperlink"/>
    <w:uiPriority w:val="99"/>
    <w:unhideWhenUsed/>
    <w:rsid w:val="00C64D28"/>
    <w:rPr>
      <w:color w:val="0000FF"/>
      <w:u w:val="single"/>
    </w:rPr>
  </w:style>
  <w:style w:type="paragraph" w:styleId="ListParagraph">
    <w:name w:val="List Paragraph"/>
    <w:basedOn w:val="Normal"/>
    <w:uiPriority w:val="34"/>
    <w:qFormat/>
    <w:rsid w:val="00C64D28"/>
    <w:pPr>
      <w:spacing w:after="200" w:line="276" w:lineRule="auto"/>
      <w:ind w:left="720"/>
      <w:contextualSpacing/>
    </w:pPr>
    <w:rPr>
      <w:rFonts w:ascii="Calibri" w:eastAsia="Calibri" w:hAnsi="Calibri" w:cs="Calibri"/>
      <w:lang w:val="en-CA"/>
    </w:rPr>
  </w:style>
  <w:style w:type="paragraph" w:styleId="FootnoteText">
    <w:name w:val="footnote text"/>
    <w:basedOn w:val="Normal"/>
    <w:link w:val="FootnoteTextChar"/>
    <w:uiPriority w:val="99"/>
    <w:unhideWhenUsed/>
    <w:rsid w:val="00C64D28"/>
    <w:pPr>
      <w:widowControl w:val="0"/>
    </w:pPr>
    <w:rPr>
      <w:rFonts w:ascii="Calibri" w:eastAsia="Calibri" w:hAnsi="Calibri"/>
      <w:sz w:val="20"/>
      <w:szCs w:val="20"/>
    </w:rPr>
  </w:style>
  <w:style w:type="character" w:customStyle="1" w:styleId="FootnoteTextChar">
    <w:name w:val="Footnote Text Char"/>
    <w:basedOn w:val="DefaultParagraphFont"/>
    <w:link w:val="FootnoteText"/>
    <w:uiPriority w:val="99"/>
    <w:rsid w:val="00C64D28"/>
    <w:rPr>
      <w:rFonts w:ascii="Calibri" w:eastAsia="Calibri" w:hAnsi="Calibri"/>
      <w:lang w:val="en-US" w:eastAsia="en-US"/>
    </w:rPr>
  </w:style>
  <w:style w:type="character" w:styleId="FootnoteReference">
    <w:name w:val="footnote reference"/>
    <w:uiPriority w:val="99"/>
    <w:unhideWhenUsed/>
    <w:rsid w:val="00C64D28"/>
    <w:rPr>
      <w:vertAlign w:val="superscript"/>
    </w:rPr>
  </w:style>
  <w:style w:type="paragraph" w:customStyle="1" w:styleId="Headin2">
    <w:name w:val="Headin 2"/>
    <w:basedOn w:val="Heading1"/>
    <w:link w:val="Headin2Char"/>
    <w:rsid w:val="00FF4BF7"/>
    <w:rPr>
      <w:sz w:val="32"/>
      <w:szCs w:val="32"/>
    </w:rPr>
  </w:style>
  <w:style w:type="character" w:customStyle="1" w:styleId="Heading2Char">
    <w:name w:val="Heading 2 Char"/>
    <w:basedOn w:val="DefaultParagraphFont"/>
    <w:link w:val="Heading2"/>
    <w:rsid w:val="00FF4BF7"/>
    <w:rPr>
      <w:rFonts w:ascii="Arial" w:eastAsiaTheme="majorEastAsia" w:hAnsi="Arial" w:cstheme="majorBidi"/>
      <w:b/>
      <w:bCs/>
      <w:iCs/>
      <w:sz w:val="28"/>
      <w:szCs w:val="28"/>
      <w:lang w:val="en-US" w:eastAsia="en-US"/>
    </w:rPr>
  </w:style>
  <w:style w:type="character" w:customStyle="1" w:styleId="Headin2Char">
    <w:name w:val="Headin 2 Char"/>
    <w:basedOn w:val="Heading1Char"/>
    <w:link w:val="Headin2"/>
    <w:rsid w:val="00FF4BF7"/>
    <w:rPr>
      <w:rFonts w:ascii="Arial" w:eastAsiaTheme="majorEastAsia" w:hAnsi="Arial" w:cstheme="majorBidi"/>
      <w:b/>
      <w:bCs/>
      <w:kern w:val="32"/>
      <w:sz w:val="32"/>
      <w:szCs w:val="32"/>
      <w:lang w:val="en-US" w:eastAsia="en-US"/>
    </w:rPr>
  </w:style>
  <w:style w:type="character" w:customStyle="1" w:styleId="FooterChar">
    <w:name w:val="Footer Char"/>
    <w:basedOn w:val="DefaultParagraphFont"/>
    <w:link w:val="Footer"/>
    <w:uiPriority w:val="99"/>
    <w:rsid w:val="00ED4A9E"/>
    <w:rPr>
      <w:sz w:val="24"/>
      <w:szCs w:val="24"/>
      <w:lang w:val="en-US" w:eastAsia="en-US"/>
    </w:rPr>
  </w:style>
  <w:style w:type="character" w:customStyle="1" w:styleId="HeaderChar">
    <w:name w:val="Header Char"/>
    <w:basedOn w:val="DefaultParagraphFont"/>
    <w:link w:val="Header"/>
    <w:uiPriority w:val="99"/>
    <w:rsid w:val="00ED4A9E"/>
    <w:rPr>
      <w:sz w:val="24"/>
      <w:szCs w:val="24"/>
      <w:lang w:val="en-US" w:eastAsia="en-US"/>
    </w:rPr>
  </w:style>
  <w:style w:type="paragraph" w:styleId="BalloonText">
    <w:name w:val="Balloon Text"/>
    <w:basedOn w:val="Normal"/>
    <w:link w:val="BalloonTextChar"/>
    <w:rsid w:val="007B4CA4"/>
    <w:rPr>
      <w:rFonts w:ascii="Tahoma" w:hAnsi="Tahoma" w:cs="Tahoma"/>
      <w:sz w:val="16"/>
      <w:szCs w:val="16"/>
    </w:rPr>
  </w:style>
  <w:style w:type="character" w:customStyle="1" w:styleId="BalloonTextChar">
    <w:name w:val="Balloon Text Char"/>
    <w:basedOn w:val="DefaultParagraphFont"/>
    <w:link w:val="BalloonText"/>
    <w:rsid w:val="007B4CA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ontario.ca/drinkingwate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ontario.ca/drinkingwater"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Lrcptovspifs002\dwpb\COR\21%20Outreach%20SR\06-Policy%20Initiatives\Lead\Reg%20243\2016%20outreach\Communications%20Toolkit\Fact%20sheet%20for%20teachers\www.hc-sc.gc.ca\ewh-semt\contaminants\lead-plomb\asked_questions-questions_posees_e.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who.int/mediacentre/factsheets/fs379/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0DE8DE24E30E46B11AEC2B76304164" ma:contentTypeVersion="0" ma:contentTypeDescription="Create a new document." ma:contentTypeScope="" ma:versionID="8999279ba798d9dcd3d59c21eab42b5a">
  <xsd:schema xmlns:xsd="http://www.w3.org/2001/XMLSchema" xmlns:xs="http://www.w3.org/2001/XMLSchema" xmlns:p="http://schemas.microsoft.com/office/2006/metadata/properties" xmlns:ns2="fb2cead6-1dc7-420e-bf34-7325a73e3688" targetNamespace="http://schemas.microsoft.com/office/2006/metadata/properties" ma:root="true" ma:fieldsID="5fe985aeddf468ca689bac693a262b0d" ns2:_="">
    <xsd:import namespace="fb2cead6-1dc7-420e-bf34-7325a73e368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cead6-1dc7-420e-bf34-7325a73e36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7AFF95-B9B7-45E6-9323-7A789C47E541}">
  <ds:schemaRefs>
    <ds:schemaRef ds:uri="http://schemas.microsoft.com/office/2006/metadata/longProperties"/>
  </ds:schemaRefs>
</ds:datastoreItem>
</file>

<file path=customXml/itemProps2.xml><?xml version="1.0" encoding="utf-8"?>
<ds:datastoreItem xmlns:ds="http://schemas.openxmlformats.org/officeDocument/2006/customXml" ds:itemID="{5CB25548-2EF8-45F3-8966-46708FF66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cead6-1dc7-420e-bf34-7325a73e3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06B73-69A8-4114-BD84-58E3D5E2ED9E}">
  <ds:schemaRefs>
    <ds:schemaRef ds:uri="http://schemas.microsoft.com/sharepoint/v3/contenttype/forms"/>
  </ds:schemaRefs>
</ds:datastoreItem>
</file>

<file path=customXml/itemProps4.xml><?xml version="1.0" encoding="utf-8"?>
<ds:datastoreItem xmlns:ds="http://schemas.openxmlformats.org/officeDocument/2006/customXml" ds:itemID="{25400AFC-23BF-466E-97A5-FDDEC889DBA9}">
  <ds:schemaRef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http://purl.org/dc/terms/"/>
    <ds:schemaRef ds:uri="fb2cead6-1dc7-420e-bf34-7325a73e3688"/>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7D4BFBCD-F34B-46A0-B4EF-4320770B09E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4021</Characters>
  <Application>Microsoft Office Word</Application>
  <DocSecurity>0</DocSecurity>
  <Lines>82</Lines>
  <Paragraphs>31</Paragraphs>
  <ScaleCrop>false</ScaleCrop>
  <HeadingPairs>
    <vt:vector size="2" baseType="variant">
      <vt:variant>
        <vt:lpstr>Title</vt:lpstr>
      </vt:variant>
      <vt:variant>
        <vt:i4>1</vt:i4>
      </vt:variant>
    </vt:vector>
  </HeadingPairs>
  <TitlesOfParts>
    <vt:vector size="1" baseType="lpstr">
      <vt:lpstr/>
    </vt:vector>
  </TitlesOfParts>
  <Company>CAB</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boritz</dc:creator>
  <cp:lastModifiedBy>MacLean, Chris (ENE)</cp:lastModifiedBy>
  <cp:revision>2</cp:revision>
  <cp:lastPrinted>2017-06-05T14:25:00Z</cp:lastPrinted>
  <dcterms:created xsi:type="dcterms:W3CDTF">2017-06-08T18:17:00Z</dcterms:created>
  <dcterms:modified xsi:type="dcterms:W3CDTF">2017-06-08T18:17:00Z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JPJ3M45QCHY6-1199-36</vt:lpwstr>
  </property>
  <property fmtid="{D5CDD505-2E9C-101B-9397-08002B2CF9AE}" pid="3" name="_dlc_DocIdItemGuid">
    <vt:lpwstr>70861a1d-d770-49d4-90f6-60748ab85344</vt:lpwstr>
  </property>
  <property fmtid="{D5CDD505-2E9C-101B-9397-08002B2CF9AE}" pid="4" name="_dlc_DocIdUrl">
    <vt:lpwstr>https://intra.sse.gov.on.ca/MOE/DWMD/DWPB/_layouts/DocIdRedir.aspx?ID=JPJ3M45QCHY6-1199-36, JPJ3M45QCHY6-1199-36</vt:lpwstr>
  </property>
</Properties>
</file>